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pStyle w:val="Heading1"/>
      </w:pPr>
      <w:r>
        <w:rPr/>
        <w:t>DETERMINAZIONE DIRETTORIALE</w:t>
      </w:r>
    </w:p>
    <w:p>
      <w:pPr>
        <w:pStyle w:val="BodyText"/>
        <w:rPr>
          <w:b/>
          <w:sz w:val="28"/>
        </w:rPr>
      </w:pPr>
    </w:p>
    <w:p>
      <w:pPr>
        <w:pStyle w:val="BodyText"/>
        <w:spacing w:before="1"/>
        <w:rPr>
          <w:b/>
          <w:sz w:val="24"/>
        </w:rPr>
      </w:pPr>
    </w:p>
    <w:p>
      <w:pPr>
        <w:pStyle w:val="BodyText"/>
        <w:ind w:left="182" w:right="128"/>
        <w:jc w:val="both"/>
      </w:pPr>
      <w:r>
        <w:rPr>
          <w:b/>
        </w:rPr>
        <w:t>VISTO </w:t>
      </w:r>
      <w:r>
        <w:rPr/>
        <w:t>il Regolamento (CE) n. 765/2008 del Parlamento europeo e del Consiglio del 9 luglio 2008 che pone norme in materia di accreditamento e vigilanza del mercato per quanto riguarda la commercializzazione dei prodotti e che abroga il regolamento (CEE) n. 339/93;</w:t>
      </w:r>
    </w:p>
    <w:p>
      <w:pPr>
        <w:pStyle w:val="BodyText"/>
        <w:spacing w:before="1"/>
      </w:pPr>
    </w:p>
    <w:p>
      <w:pPr>
        <w:pStyle w:val="BodyText"/>
        <w:ind w:left="182" w:right="121"/>
        <w:jc w:val="both"/>
      </w:pPr>
      <w:r>
        <w:rPr>
          <w:b/>
        </w:rPr>
        <w:t>VISTO </w:t>
      </w:r>
      <w:r>
        <w:rPr/>
        <w:t>il decreto legislativo n. 54/2011 di attuazione nell’ordinamento italiano della Direttiva 2009/48/CE del Parlamento europeo e del Consiglio del 18 giugno 2009 sulla sicurezza dei giocattoli e le relative istruzioni impartite con la nota della Direzione Antifrode e Controlli di ADM prot. n. 59658/RU del 23 maggio 2011;</w:t>
      </w:r>
    </w:p>
    <w:p>
      <w:pPr>
        <w:pStyle w:val="BodyText"/>
        <w:spacing w:before="8"/>
        <w:rPr>
          <w:sz w:val="25"/>
        </w:rPr>
      </w:pPr>
    </w:p>
    <w:p>
      <w:pPr>
        <w:pStyle w:val="BodyText"/>
        <w:ind w:left="182" w:right="120"/>
        <w:jc w:val="both"/>
      </w:pPr>
      <w:r>
        <w:rPr>
          <w:b/>
        </w:rPr>
        <w:t>VISTO </w:t>
      </w:r>
      <w:r>
        <w:rPr/>
        <w:t>il decreto legislativo n. 17/2019 di adeguamento della normativa nazionale alle disposizioni del Regolamento (UE) n. 2016/425 del Parlamento e del Consiglio, del 9 marzo 2016, sui dispositivi di protezione individuale e che abroga la direttiva 89/686/CEE del Consiglio;</w:t>
      </w:r>
    </w:p>
    <w:p>
      <w:pPr>
        <w:pStyle w:val="BodyText"/>
        <w:spacing w:before="2"/>
      </w:pPr>
    </w:p>
    <w:p>
      <w:pPr>
        <w:pStyle w:val="BodyText"/>
        <w:ind w:left="182" w:right="119"/>
        <w:jc w:val="both"/>
      </w:pPr>
      <w:r>
        <w:rPr>
          <w:b/>
        </w:rPr>
        <w:t>VISTO </w:t>
      </w:r>
      <w:r>
        <w:rPr/>
        <w:t>il Manuale procedurale per i controlli doganali sulla sicurezza dei prodotti, presentato, nella versione consolidata ed aggiornata nella Conferenza dei servizi del 29 novembre 2019;</w:t>
      </w:r>
    </w:p>
    <w:p>
      <w:pPr>
        <w:pStyle w:val="BodyText"/>
      </w:pPr>
    </w:p>
    <w:p>
      <w:pPr>
        <w:pStyle w:val="BodyText"/>
        <w:spacing w:before="1"/>
        <w:ind w:left="182" w:right="121"/>
        <w:jc w:val="both"/>
      </w:pPr>
      <w:r>
        <w:rPr>
          <w:b/>
        </w:rPr>
        <w:t>VISTA </w:t>
      </w:r>
      <w:r>
        <w:rPr/>
        <w:t>la Convenzione “Per il Consumatore” – di seguito “Convenzione” – ed il relativo Piano esecutivo, volti al rafforzamento dell’attività di verifica all’importazione della conformità dei prodotti, tra cui i giocattoli, sospettati di non possedere i requisiti previsti dalle normative UE di settore, attraverso l’esecuzione di controlli analitici effettuati dai laboratori chimici degli Uffici delle Dogane di Livorno e Napoli, finanziati dal MISE;</w:t>
      </w:r>
    </w:p>
    <w:p>
      <w:pPr>
        <w:pStyle w:val="BodyText"/>
        <w:spacing w:before="8"/>
        <w:rPr>
          <w:sz w:val="25"/>
        </w:rPr>
      </w:pPr>
    </w:p>
    <w:p>
      <w:pPr>
        <w:pStyle w:val="BodyText"/>
        <w:ind w:left="182" w:right="126"/>
        <w:jc w:val="both"/>
      </w:pPr>
      <w:r>
        <w:rPr>
          <w:b/>
        </w:rPr>
        <w:t>VISTA</w:t>
      </w:r>
      <w:r>
        <w:rPr>
          <w:b/>
          <w:spacing w:val="-7"/>
        </w:rPr>
        <w:t> </w:t>
      </w:r>
      <w:r>
        <w:rPr/>
        <w:t>la</w:t>
      </w:r>
      <w:r>
        <w:rPr>
          <w:spacing w:val="-5"/>
        </w:rPr>
        <w:t> </w:t>
      </w:r>
      <w:r>
        <w:rPr/>
        <w:t>nota</w:t>
      </w:r>
      <w:r>
        <w:rPr>
          <w:spacing w:val="-5"/>
        </w:rPr>
        <w:t> </w:t>
      </w:r>
      <w:r>
        <w:rPr/>
        <w:t>Direzione</w:t>
      </w:r>
      <w:r>
        <w:rPr>
          <w:spacing w:val="-7"/>
        </w:rPr>
        <w:t> </w:t>
      </w:r>
      <w:r>
        <w:rPr/>
        <w:t>Antifrode</w:t>
      </w:r>
      <w:r>
        <w:rPr>
          <w:spacing w:val="-7"/>
        </w:rPr>
        <w:t> </w:t>
      </w:r>
      <w:r>
        <w:rPr/>
        <w:t>e</w:t>
      </w:r>
      <w:r>
        <w:rPr>
          <w:spacing w:val="-3"/>
        </w:rPr>
        <w:t> </w:t>
      </w:r>
      <w:r>
        <w:rPr/>
        <w:t>Controlli</w:t>
      </w:r>
      <w:r>
        <w:rPr>
          <w:spacing w:val="-7"/>
        </w:rPr>
        <w:t> </w:t>
      </w:r>
      <w:r>
        <w:rPr/>
        <w:t>di</w:t>
      </w:r>
      <w:r>
        <w:rPr>
          <w:spacing w:val="-7"/>
        </w:rPr>
        <w:t> </w:t>
      </w:r>
      <w:r>
        <w:rPr/>
        <w:t>ADM</w:t>
      </w:r>
      <w:r>
        <w:rPr>
          <w:spacing w:val="-5"/>
        </w:rPr>
        <w:t> </w:t>
      </w:r>
      <w:r>
        <w:rPr/>
        <w:t>prot.</w:t>
      </w:r>
      <w:r>
        <w:rPr>
          <w:spacing w:val="-8"/>
        </w:rPr>
        <w:t> </w:t>
      </w:r>
      <w:r>
        <w:rPr/>
        <w:t>n.</w:t>
      </w:r>
      <w:r>
        <w:rPr>
          <w:spacing w:val="-4"/>
        </w:rPr>
        <w:t> </w:t>
      </w:r>
      <w:r>
        <w:rPr/>
        <w:t>278647/RU</w:t>
      </w:r>
      <w:r>
        <w:rPr>
          <w:spacing w:val="-6"/>
        </w:rPr>
        <w:t> </w:t>
      </w:r>
      <w:r>
        <w:rPr/>
        <w:t>del</w:t>
      </w:r>
      <w:r>
        <w:rPr>
          <w:spacing w:val="-7"/>
        </w:rPr>
        <w:t> </w:t>
      </w:r>
      <w:r>
        <w:rPr/>
        <w:t>12</w:t>
      </w:r>
      <w:r>
        <w:rPr>
          <w:spacing w:val="-6"/>
        </w:rPr>
        <w:t> </w:t>
      </w:r>
      <w:r>
        <w:rPr/>
        <w:t>agosto</w:t>
      </w:r>
      <w:r>
        <w:rPr>
          <w:spacing w:val="-3"/>
        </w:rPr>
        <w:t> </w:t>
      </w:r>
      <w:r>
        <w:rPr/>
        <w:t>2020 con la quale sono state impartite le istruzioni operative inerenti la</w:t>
      </w:r>
      <w:r>
        <w:rPr>
          <w:spacing w:val="-1"/>
        </w:rPr>
        <w:t> </w:t>
      </w:r>
      <w:r>
        <w:rPr/>
        <w:t>“Convenzione”;</w:t>
      </w:r>
    </w:p>
    <w:p>
      <w:pPr>
        <w:pStyle w:val="BodyText"/>
        <w:spacing w:before="1"/>
      </w:pPr>
    </w:p>
    <w:p>
      <w:pPr>
        <w:pStyle w:val="BodyText"/>
        <w:ind w:left="182" w:right="116"/>
        <w:jc w:val="both"/>
      </w:pPr>
      <w:r>
        <w:rPr>
          <w:b/>
        </w:rPr>
        <w:t>VISTA</w:t>
      </w:r>
      <w:r>
        <w:rPr>
          <w:b/>
          <w:spacing w:val="-12"/>
        </w:rPr>
        <w:t> </w:t>
      </w:r>
      <w:r>
        <w:rPr/>
        <w:t>la</w:t>
      </w:r>
      <w:r>
        <w:rPr>
          <w:spacing w:val="-10"/>
        </w:rPr>
        <w:t> </w:t>
      </w:r>
      <w:r>
        <w:rPr/>
        <w:t>nota</w:t>
      </w:r>
      <w:r>
        <w:rPr>
          <w:spacing w:val="-10"/>
        </w:rPr>
        <w:t> </w:t>
      </w:r>
      <w:r>
        <w:rPr/>
        <w:t>Direzione</w:t>
      </w:r>
      <w:r>
        <w:rPr>
          <w:spacing w:val="-7"/>
        </w:rPr>
        <w:t> </w:t>
      </w:r>
      <w:r>
        <w:rPr/>
        <w:t>Antifrode</w:t>
      </w:r>
      <w:r>
        <w:rPr>
          <w:spacing w:val="-8"/>
        </w:rPr>
        <w:t> </w:t>
      </w:r>
      <w:r>
        <w:rPr/>
        <w:t>e</w:t>
      </w:r>
      <w:r>
        <w:rPr>
          <w:spacing w:val="-7"/>
        </w:rPr>
        <w:t> </w:t>
      </w:r>
      <w:r>
        <w:rPr/>
        <w:t>Controlli</w:t>
      </w:r>
      <w:r>
        <w:rPr>
          <w:spacing w:val="-12"/>
        </w:rPr>
        <w:t> </w:t>
      </w:r>
      <w:r>
        <w:rPr/>
        <w:t>di</w:t>
      </w:r>
      <w:r>
        <w:rPr>
          <w:spacing w:val="-11"/>
        </w:rPr>
        <w:t> </w:t>
      </w:r>
      <w:r>
        <w:rPr/>
        <w:t>ADM</w:t>
      </w:r>
      <w:r>
        <w:rPr>
          <w:spacing w:val="-10"/>
        </w:rPr>
        <w:t> </w:t>
      </w:r>
      <w:r>
        <w:rPr/>
        <w:t>prot.</w:t>
      </w:r>
      <w:r>
        <w:rPr>
          <w:spacing w:val="-14"/>
        </w:rPr>
        <w:t> </w:t>
      </w:r>
      <w:r>
        <w:rPr/>
        <w:t>n.</w:t>
      </w:r>
      <w:r>
        <w:rPr>
          <w:spacing w:val="-9"/>
        </w:rPr>
        <w:t> </w:t>
      </w:r>
      <w:r>
        <w:rPr/>
        <w:t>19715/RU</w:t>
      </w:r>
      <w:r>
        <w:rPr>
          <w:spacing w:val="-11"/>
        </w:rPr>
        <w:t> </w:t>
      </w:r>
      <w:r>
        <w:rPr/>
        <w:t>del</w:t>
      </w:r>
      <w:r>
        <w:rPr>
          <w:spacing w:val="-11"/>
        </w:rPr>
        <w:t> </w:t>
      </w:r>
      <w:r>
        <w:rPr/>
        <w:t>23</w:t>
      </w:r>
      <w:r>
        <w:rPr>
          <w:spacing w:val="-11"/>
        </w:rPr>
        <w:t> </w:t>
      </w:r>
      <w:r>
        <w:rPr/>
        <w:t>febbraio</w:t>
      </w:r>
      <w:r>
        <w:rPr>
          <w:spacing w:val="-8"/>
        </w:rPr>
        <w:t> </w:t>
      </w:r>
      <w:r>
        <w:rPr/>
        <w:t>2012 con la quale sono state impartite le istruzioni operative sugli Orientamenti per i controlli all’importazione</w:t>
      </w:r>
      <w:r>
        <w:rPr>
          <w:spacing w:val="-14"/>
        </w:rPr>
        <w:t> </w:t>
      </w:r>
      <w:r>
        <w:rPr/>
        <w:t>riguardanti</w:t>
      </w:r>
      <w:r>
        <w:rPr>
          <w:spacing w:val="-17"/>
        </w:rPr>
        <w:t> </w:t>
      </w:r>
      <w:r>
        <w:rPr/>
        <w:t>la</w:t>
      </w:r>
      <w:r>
        <w:rPr>
          <w:spacing w:val="-15"/>
        </w:rPr>
        <w:t> </w:t>
      </w:r>
      <w:r>
        <w:rPr/>
        <w:t>sicurezza</w:t>
      </w:r>
      <w:r>
        <w:rPr>
          <w:spacing w:val="-15"/>
        </w:rPr>
        <w:t> </w:t>
      </w:r>
      <w:r>
        <w:rPr/>
        <w:t>e</w:t>
      </w:r>
      <w:r>
        <w:rPr>
          <w:spacing w:val="-13"/>
        </w:rPr>
        <w:t> </w:t>
      </w:r>
      <w:r>
        <w:rPr/>
        <w:t>la</w:t>
      </w:r>
      <w:r>
        <w:rPr>
          <w:spacing w:val="-15"/>
        </w:rPr>
        <w:t> </w:t>
      </w:r>
      <w:r>
        <w:rPr/>
        <w:t>conformità</w:t>
      </w:r>
      <w:r>
        <w:rPr>
          <w:spacing w:val="-15"/>
        </w:rPr>
        <w:t> </w:t>
      </w:r>
      <w:r>
        <w:rPr/>
        <w:t>dei</w:t>
      </w:r>
      <w:r>
        <w:rPr>
          <w:spacing w:val="-17"/>
        </w:rPr>
        <w:t> </w:t>
      </w:r>
      <w:r>
        <w:rPr/>
        <w:t>prodotti</w:t>
      </w:r>
      <w:r>
        <w:rPr>
          <w:spacing w:val="-17"/>
        </w:rPr>
        <w:t> </w:t>
      </w:r>
      <w:r>
        <w:rPr/>
        <w:t>della</w:t>
      </w:r>
      <w:r>
        <w:rPr>
          <w:spacing w:val="-15"/>
        </w:rPr>
        <w:t> </w:t>
      </w:r>
      <w:r>
        <w:rPr/>
        <w:t>Commissione</w:t>
      </w:r>
      <w:r>
        <w:rPr>
          <w:spacing w:val="-13"/>
        </w:rPr>
        <w:t> </w:t>
      </w:r>
      <w:r>
        <w:rPr/>
        <w:t>Europea, con particolare riferimento al punto 3.4 in base al quale la sospensione dello svincolo ai sensi dell’art. 27 del Reg. (CE) n. 765/2008 può rimanere valida per il tempo necessario al completamento degli accertamenti tecnici, fino all’adozione del formale provvedimento da parte dell’Autorità</w:t>
      </w:r>
      <w:r>
        <w:rPr>
          <w:spacing w:val="-2"/>
        </w:rPr>
        <w:t> </w:t>
      </w:r>
      <w:r>
        <w:rPr/>
        <w:t>nazionale,</w:t>
      </w:r>
      <w:r>
        <w:rPr>
          <w:spacing w:val="-9"/>
        </w:rPr>
        <w:t> </w:t>
      </w:r>
      <w:r>
        <w:rPr/>
        <w:t>sempreché</w:t>
      </w:r>
      <w:r>
        <w:rPr>
          <w:spacing w:val="-4"/>
        </w:rPr>
        <w:t> </w:t>
      </w:r>
      <w:r>
        <w:rPr/>
        <w:t>tale</w:t>
      </w:r>
      <w:r>
        <w:rPr>
          <w:spacing w:val="-4"/>
        </w:rPr>
        <w:t> </w:t>
      </w:r>
      <w:r>
        <w:rPr/>
        <w:t>Autorità</w:t>
      </w:r>
      <w:r>
        <w:rPr>
          <w:spacing w:val="-6"/>
        </w:rPr>
        <w:t> </w:t>
      </w:r>
      <w:r>
        <w:rPr/>
        <w:t>comunichi,</w:t>
      </w:r>
      <w:r>
        <w:rPr>
          <w:spacing w:val="-5"/>
        </w:rPr>
        <w:t> </w:t>
      </w:r>
      <w:r>
        <w:rPr/>
        <w:t>nel</w:t>
      </w:r>
      <w:r>
        <w:rPr>
          <w:spacing w:val="-7"/>
        </w:rPr>
        <w:t> </w:t>
      </w:r>
      <w:r>
        <w:rPr/>
        <w:t>termine</w:t>
      </w:r>
      <w:r>
        <w:rPr>
          <w:spacing w:val="1"/>
        </w:rPr>
        <w:t> </w:t>
      </w:r>
      <w:r>
        <w:rPr/>
        <w:t>di</w:t>
      </w:r>
      <w:r>
        <w:rPr>
          <w:spacing w:val="-8"/>
        </w:rPr>
        <w:t> </w:t>
      </w:r>
      <w:r>
        <w:rPr/>
        <w:t>tre</w:t>
      </w:r>
      <w:r>
        <w:rPr>
          <w:spacing w:val="-4"/>
        </w:rPr>
        <w:t> </w:t>
      </w:r>
      <w:r>
        <w:rPr/>
        <w:t>giorni</w:t>
      </w:r>
      <w:r>
        <w:rPr>
          <w:spacing w:val="-8"/>
        </w:rPr>
        <w:t> </w:t>
      </w:r>
      <w:r>
        <w:rPr/>
        <w:t>lavorativi</w:t>
      </w:r>
      <w:r>
        <w:rPr>
          <w:spacing w:val="-3"/>
        </w:rPr>
        <w:t> </w:t>
      </w:r>
      <w:r>
        <w:rPr/>
        <w:t>di cui all’art. 28 del Reg. (CE) n. 765/2008, che la decisione definitiva sui prodotti è in corso di adozione;</w:t>
      </w:r>
    </w:p>
    <w:p>
      <w:pPr>
        <w:pStyle w:val="BodyText"/>
        <w:spacing w:before="3"/>
      </w:pPr>
    </w:p>
    <w:p>
      <w:pPr>
        <w:pStyle w:val="BodyText"/>
        <w:ind w:left="182" w:right="120"/>
        <w:jc w:val="both"/>
      </w:pPr>
      <w:r>
        <w:rPr>
          <w:b/>
        </w:rPr>
        <w:t>CONSIDERATA</w:t>
      </w:r>
      <w:r>
        <w:rPr>
          <w:b/>
          <w:spacing w:val="-9"/>
        </w:rPr>
        <w:t> </w:t>
      </w:r>
      <w:r>
        <w:rPr/>
        <w:t>l'opportunità</w:t>
      </w:r>
      <w:r>
        <w:rPr>
          <w:spacing w:val="-5"/>
        </w:rPr>
        <w:t> </w:t>
      </w:r>
      <w:r>
        <w:rPr/>
        <w:t>di</w:t>
      </w:r>
      <w:r>
        <w:rPr>
          <w:spacing w:val="-9"/>
        </w:rPr>
        <w:t> </w:t>
      </w:r>
      <w:r>
        <w:rPr/>
        <w:t>efficientare</w:t>
      </w:r>
      <w:r>
        <w:rPr>
          <w:spacing w:val="-4"/>
        </w:rPr>
        <w:t> </w:t>
      </w:r>
      <w:r>
        <w:rPr/>
        <w:t>ulteriormente</w:t>
      </w:r>
      <w:r>
        <w:rPr>
          <w:spacing w:val="-5"/>
        </w:rPr>
        <w:t> </w:t>
      </w:r>
      <w:r>
        <w:rPr/>
        <w:t>le</w:t>
      </w:r>
      <w:r>
        <w:rPr>
          <w:spacing w:val="-4"/>
        </w:rPr>
        <w:t> </w:t>
      </w:r>
      <w:r>
        <w:rPr/>
        <w:t>operazioni</w:t>
      </w:r>
      <w:r>
        <w:rPr>
          <w:spacing w:val="-8"/>
        </w:rPr>
        <w:t> </w:t>
      </w:r>
      <w:r>
        <w:rPr/>
        <w:t>di</w:t>
      </w:r>
      <w:r>
        <w:rPr>
          <w:spacing w:val="-9"/>
        </w:rPr>
        <w:t> </w:t>
      </w:r>
      <w:r>
        <w:rPr/>
        <w:t>sdoganamento</w:t>
      </w:r>
      <w:r>
        <w:rPr>
          <w:spacing w:val="-4"/>
        </w:rPr>
        <w:t> </w:t>
      </w:r>
      <w:r>
        <w:rPr/>
        <w:t>dei prodotti</w:t>
      </w:r>
      <w:r>
        <w:rPr>
          <w:spacing w:val="-17"/>
        </w:rPr>
        <w:t> </w:t>
      </w:r>
      <w:r>
        <w:rPr/>
        <w:t>rientranti</w:t>
      </w:r>
      <w:r>
        <w:rPr>
          <w:spacing w:val="-13"/>
        </w:rPr>
        <w:t> </w:t>
      </w:r>
      <w:r>
        <w:rPr/>
        <w:t>nella</w:t>
      </w:r>
      <w:r>
        <w:rPr>
          <w:spacing w:val="-10"/>
        </w:rPr>
        <w:t> </w:t>
      </w:r>
      <w:r>
        <w:rPr/>
        <w:t>“Convenzione”</w:t>
      </w:r>
      <w:r>
        <w:rPr>
          <w:spacing w:val="-12"/>
        </w:rPr>
        <w:t> </w:t>
      </w:r>
      <w:r>
        <w:rPr/>
        <w:t>nonché</w:t>
      </w:r>
      <w:r>
        <w:rPr>
          <w:spacing w:val="-17"/>
        </w:rPr>
        <w:t> </w:t>
      </w:r>
      <w:r>
        <w:rPr/>
        <w:t>di</w:t>
      </w:r>
      <w:r>
        <w:rPr>
          <w:spacing w:val="-13"/>
        </w:rPr>
        <w:t> </w:t>
      </w:r>
      <w:r>
        <w:rPr/>
        <w:t>accelerare</w:t>
      </w:r>
      <w:r>
        <w:rPr>
          <w:spacing w:val="-8"/>
        </w:rPr>
        <w:t> </w:t>
      </w:r>
      <w:r>
        <w:rPr/>
        <w:t>anche</w:t>
      </w:r>
      <w:r>
        <w:rPr>
          <w:spacing w:val="-13"/>
        </w:rPr>
        <w:t> </w:t>
      </w:r>
      <w:r>
        <w:rPr/>
        <w:t>le</w:t>
      </w:r>
      <w:r>
        <w:rPr>
          <w:spacing w:val="-12"/>
        </w:rPr>
        <w:t> </w:t>
      </w:r>
      <w:r>
        <w:rPr/>
        <w:t>operazioni</w:t>
      </w:r>
      <w:r>
        <w:rPr>
          <w:spacing w:val="-13"/>
        </w:rPr>
        <w:t> </w:t>
      </w:r>
      <w:r>
        <w:rPr/>
        <w:t>di</w:t>
      </w:r>
      <w:r>
        <w:rPr>
          <w:spacing w:val="-16"/>
        </w:rPr>
        <w:t> </w:t>
      </w:r>
      <w:r>
        <w:rPr/>
        <w:t>controllo</w:t>
      </w:r>
      <w:r>
        <w:rPr>
          <w:spacing w:val="-9"/>
        </w:rPr>
        <w:t> </w:t>
      </w:r>
      <w:r>
        <w:rPr/>
        <w:t>che</w:t>
      </w:r>
    </w:p>
    <w:p>
      <w:pPr>
        <w:spacing w:after="0"/>
        <w:jc w:val="both"/>
        <w:sectPr>
          <w:headerReference w:type="default" r:id="rId5"/>
          <w:footerReference w:type="default" r:id="rId6"/>
          <w:type w:val="continuous"/>
          <w:pgSz w:w="11910" w:h="16840"/>
          <w:pgMar w:header="697" w:footer="727" w:top="2240" w:bottom="920" w:left="960" w:right="1000"/>
          <w:pgNumType w:start="1"/>
        </w:sect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ind w:left="182"/>
      </w:pPr>
      <w:r>
        <w:rPr/>
        <w:t>richiedono</w:t>
      </w:r>
      <w:r>
        <w:rPr>
          <w:spacing w:val="-15"/>
        </w:rPr>
        <w:t> </w:t>
      </w:r>
      <w:r>
        <w:rPr/>
        <w:t>l’intervento</w:t>
      </w:r>
      <w:r>
        <w:rPr>
          <w:spacing w:val="-14"/>
        </w:rPr>
        <w:t> </w:t>
      </w:r>
      <w:r>
        <w:rPr/>
        <w:t>dell’autorità</w:t>
      </w:r>
      <w:r>
        <w:rPr>
          <w:spacing w:val="-12"/>
        </w:rPr>
        <w:t> </w:t>
      </w:r>
      <w:r>
        <w:rPr/>
        <w:t>nazionale</w:t>
      </w:r>
      <w:r>
        <w:rPr>
          <w:spacing w:val="-13"/>
        </w:rPr>
        <w:t> </w:t>
      </w:r>
      <w:r>
        <w:rPr/>
        <w:t>di</w:t>
      </w:r>
      <w:r>
        <w:rPr>
          <w:spacing w:val="-18"/>
        </w:rPr>
        <w:t> </w:t>
      </w:r>
      <w:r>
        <w:rPr/>
        <w:t>vigilanza</w:t>
      </w:r>
      <w:r>
        <w:rPr>
          <w:spacing w:val="-11"/>
        </w:rPr>
        <w:t> </w:t>
      </w:r>
      <w:r>
        <w:rPr/>
        <w:t>del</w:t>
      </w:r>
      <w:r>
        <w:rPr>
          <w:spacing w:val="-14"/>
        </w:rPr>
        <w:t> </w:t>
      </w:r>
      <w:r>
        <w:rPr/>
        <w:t>mercato,</w:t>
      </w:r>
      <w:r>
        <w:rPr>
          <w:spacing w:val="-15"/>
        </w:rPr>
        <w:t> </w:t>
      </w:r>
      <w:r>
        <w:rPr/>
        <w:t>con</w:t>
      </w:r>
      <w:r>
        <w:rPr>
          <w:spacing w:val="-10"/>
        </w:rPr>
        <w:t> </w:t>
      </w:r>
      <w:r>
        <w:rPr/>
        <w:t>riferimento</w:t>
      </w:r>
      <w:r>
        <w:rPr>
          <w:spacing w:val="-10"/>
        </w:rPr>
        <w:t> </w:t>
      </w:r>
      <w:r>
        <w:rPr/>
        <w:t>anche</w:t>
      </w:r>
      <w:r>
        <w:rPr>
          <w:spacing w:val="-9"/>
        </w:rPr>
        <w:t> </w:t>
      </w:r>
      <w:r>
        <w:rPr/>
        <w:t>alle merci non rientranti nella Convenzione;</w:t>
      </w:r>
    </w:p>
    <w:p>
      <w:pPr>
        <w:pStyle w:val="BodyText"/>
        <w:spacing w:before="1"/>
      </w:pPr>
    </w:p>
    <w:p>
      <w:pPr>
        <w:pStyle w:val="BodyText"/>
        <w:ind w:left="182"/>
      </w:pPr>
      <w:r>
        <w:rPr>
          <w:b/>
        </w:rPr>
        <w:t>VISTO </w:t>
      </w:r>
      <w:r>
        <w:rPr/>
        <w:t>quanto concordato tra ADM e MISE all’esito della riunione di servizio del 17 settembre 2020;</w:t>
      </w:r>
    </w:p>
    <w:p>
      <w:pPr>
        <w:pStyle w:val="BodyText"/>
        <w:rPr>
          <w:sz w:val="28"/>
        </w:rPr>
      </w:pPr>
    </w:p>
    <w:p>
      <w:pPr>
        <w:pStyle w:val="BodyText"/>
        <w:rPr>
          <w:sz w:val="28"/>
        </w:rPr>
      </w:pPr>
    </w:p>
    <w:p>
      <w:pPr>
        <w:pStyle w:val="BodyText"/>
        <w:rPr>
          <w:sz w:val="28"/>
        </w:rPr>
      </w:pPr>
    </w:p>
    <w:p>
      <w:pPr>
        <w:pStyle w:val="BodyText"/>
        <w:rPr>
          <w:sz w:val="28"/>
        </w:rPr>
      </w:pPr>
    </w:p>
    <w:p>
      <w:pPr>
        <w:pStyle w:val="Heading1"/>
        <w:spacing w:before="200"/>
        <w:ind w:left="278"/>
      </w:pPr>
      <w:r>
        <w:rPr/>
        <w:t>IL DIRETTORE GENERALE DELL’AGENZIA DELLE DOGANE E DEI MONOPOLI</w:t>
      </w:r>
    </w:p>
    <w:p>
      <w:pPr>
        <w:pStyle w:val="BodyText"/>
        <w:rPr>
          <w:b/>
        </w:rPr>
      </w:pPr>
    </w:p>
    <w:p>
      <w:pPr>
        <w:pStyle w:val="BodyText"/>
        <w:ind w:left="50"/>
        <w:jc w:val="center"/>
      </w:pPr>
      <w:r>
        <w:rPr>
          <w:w w:val="99"/>
        </w:rPr>
        <w:t>e</w:t>
      </w:r>
    </w:p>
    <w:p>
      <w:pPr>
        <w:pStyle w:val="BodyText"/>
        <w:spacing w:before="1"/>
      </w:pPr>
    </w:p>
    <w:p>
      <w:pPr>
        <w:pStyle w:val="Heading1"/>
        <w:spacing w:before="0"/>
        <w:ind w:left="280"/>
      </w:pPr>
      <w:r>
        <w:rPr/>
        <w:t>IL DIRETTORE GENERALE DEL MINISTERO DELLO SVILUPPO ECONOMICO</w:t>
      </w:r>
    </w:p>
    <w:p>
      <w:pPr>
        <w:spacing w:before="1"/>
        <w:ind w:left="2265" w:right="2209" w:firstLine="0"/>
        <w:jc w:val="center"/>
        <w:rPr>
          <w:b/>
          <w:sz w:val="26"/>
        </w:rPr>
      </w:pPr>
      <w:r>
        <w:rPr>
          <w:b/>
          <w:sz w:val="26"/>
        </w:rPr>
        <w:t>Direzione generale per il mercato, la concorrenza, la tutela del consumatore e la normativa tecnica</w:t>
      </w:r>
    </w:p>
    <w:p>
      <w:pPr>
        <w:pStyle w:val="BodyText"/>
        <w:rPr>
          <w:b/>
          <w:sz w:val="28"/>
        </w:rPr>
      </w:pPr>
    </w:p>
    <w:p>
      <w:pPr>
        <w:pStyle w:val="BodyText"/>
        <w:rPr>
          <w:b/>
          <w:sz w:val="28"/>
        </w:rPr>
      </w:pPr>
    </w:p>
    <w:p>
      <w:pPr>
        <w:spacing w:before="249"/>
        <w:ind w:left="283" w:right="220" w:firstLine="0"/>
        <w:jc w:val="center"/>
        <w:rPr>
          <w:b/>
          <w:sz w:val="26"/>
        </w:rPr>
      </w:pPr>
      <w:r>
        <w:rPr>
          <w:b/>
          <w:sz w:val="26"/>
        </w:rPr>
        <w:t>A</w:t>
      </w:r>
      <w:r>
        <w:rPr>
          <w:b/>
          <w:sz w:val="21"/>
        </w:rPr>
        <w:t>RTICOLO </w:t>
      </w:r>
      <w:r>
        <w:rPr>
          <w:b/>
          <w:sz w:val="26"/>
        </w:rPr>
        <w:t>1</w:t>
      </w:r>
    </w:p>
    <w:p>
      <w:pPr>
        <w:pStyle w:val="BodyText"/>
        <w:ind w:left="1391" w:right="497" w:hanging="548"/>
      </w:pPr>
      <w:r>
        <w:rPr/>
        <w:t>(Importazione di giocattoli che non evidenzino pericolosità palese per la sicurezza dei consumatori. Sdoganamento in attesa dell’esito degli accertamenti analitici)</w:t>
      </w:r>
    </w:p>
    <w:p>
      <w:pPr>
        <w:pStyle w:val="BodyText"/>
        <w:spacing w:before="7"/>
        <w:rPr>
          <w:sz w:val="25"/>
        </w:rPr>
      </w:pPr>
    </w:p>
    <w:p>
      <w:pPr>
        <w:pStyle w:val="ListParagraph"/>
        <w:numPr>
          <w:ilvl w:val="0"/>
          <w:numId w:val="1"/>
        </w:numPr>
        <w:tabs>
          <w:tab w:pos="903" w:val="left" w:leader="none"/>
        </w:tabs>
        <w:spacing w:line="240" w:lineRule="auto" w:before="0" w:after="0"/>
        <w:ind w:left="902" w:right="120" w:hanging="360"/>
        <w:jc w:val="both"/>
        <w:rPr>
          <w:sz w:val="26"/>
        </w:rPr>
      </w:pPr>
      <w:r>
        <w:rPr>
          <w:sz w:val="26"/>
        </w:rPr>
        <w:t>In caso di importazioni di giocattoli selezionate per l’invio di campioni che - pur in presenza</w:t>
      </w:r>
      <w:r>
        <w:rPr>
          <w:spacing w:val="-11"/>
          <w:sz w:val="26"/>
        </w:rPr>
        <w:t> </w:t>
      </w:r>
      <w:r>
        <w:rPr>
          <w:sz w:val="26"/>
        </w:rPr>
        <w:t>di</w:t>
      </w:r>
      <w:r>
        <w:rPr>
          <w:spacing w:val="-12"/>
          <w:sz w:val="26"/>
        </w:rPr>
        <w:t> </w:t>
      </w:r>
      <w:r>
        <w:rPr>
          <w:sz w:val="26"/>
        </w:rPr>
        <w:t>una</w:t>
      </w:r>
      <w:r>
        <w:rPr>
          <w:spacing w:val="-10"/>
          <w:sz w:val="26"/>
        </w:rPr>
        <w:t> </w:t>
      </w:r>
      <w:r>
        <w:rPr>
          <w:sz w:val="26"/>
        </w:rPr>
        <w:t>sospetta</w:t>
      </w:r>
      <w:r>
        <w:rPr>
          <w:spacing w:val="-13"/>
          <w:sz w:val="26"/>
        </w:rPr>
        <w:t> </w:t>
      </w:r>
      <w:r>
        <w:rPr>
          <w:sz w:val="26"/>
        </w:rPr>
        <w:t>non</w:t>
      </w:r>
      <w:r>
        <w:rPr>
          <w:spacing w:val="-9"/>
          <w:sz w:val="26"/>
        </w:rPr>
        <w:t> </w:t>
      </w:r>
      <w:r>
        <w:rPr>
          <w:sz w:val="26"/>
        </w:rPr>
        <w:t>conformità</w:t>
      </w:r>
      <w:r>
        <w:rPr>
          <w:spacing w:val="-9"/>
          <w:sz w:val="26"/>
        </w:rPr>
        <w:t> </w:t>
      </w:r>
      <w:r>
        <w:rPr>
          <w:sz w:val="26"/>
        </w:rPr>
        <w:t>-</w:t>
      </w:r>
      <w:r>
        <w:rPr>
          <w:spacing w:val="-9"/>
          <w:sz w:val="26"/>
        </w:rPr>
        <w:t> </w:t>
      </w:r>
      <w:r>
        <w:rPr>
          <w:sz w:val="26"/>
        </w:rPr>
        <w:t>non</w:t>
      </w:r>
      <w:r>
        <w:rPr>
          <w:spacing w:val="-13"/>
          <w:sz w:val="26"/>
        </w:rPr>
        <w:t> </w:t>
      </w:r>
      <w:r>
        <w:rPr>
          <w:sz w:val="26"/>
        </w:rPr>
        <w:t>evidenzino</w:t>
      </w:r>
      <w:r>
        <w:rPr>
          <w:spacing w:val="-8"/>
          <w:sz w:val="26"/>
        </w:rPr>
        <w:t> </w:t>
      </w:r>
      <w:r>
        <w:rPr>
          <w:i/>
          <w:sz w:val="26"/>
        </w:rPr>
        <w:t>ictu</w:t>
      </w:r>
      <w:r>
        <w:rPr>
          <w:i/>
          <w:spacing w:val="-10"/>
          <w:sz w:val="26"/>
        </w:rPr>
        <w:t> </w:t>
      </w:r>
      <w:r>
        <w:rPr>
          <w:i/>
          <w:sz w:val="26"/>
        </w:rPr>
        <w:t>oculi</w:t>
      </w:r>
      <w:r>
        <w:rPr>
          <w:i/>
          <w:spacing w:val="-12"/>
          <w:sz w:val="26"/>
        </w:rPr>
        <w:t> </w:t>
      </w:r>
      <w:r>
        <w:rPr>
          <w:sz w:val="26"/>
        </w:rPr>
        <w:t>una</w:t>
      </w:r>
      <w:r>
        <w:rPr>
          <w:spacing w:val="-9"/>
          <w:sz w:val="26"/>
        </w:rPr>
        <w:t> </w:t>
      </w:r>
      <w:r>
        <w:rPr>
          <w:sz w:val="26"/>
        </w:rPr>
        <w:t>pericolosità</w:t>
      </w:r>
      <w:r>
        <w:rPr>
          <w:spacing w:val="-9"/>
          <w:sz w:val="26"/>
        </w:rPr>
        <w:t> </w:t>
      </w:r>
      <w:r>
        <w:rPr>
          <w:sz w:val="26"/>
        </w:rPr>
        <w:t>palese per la sicurezza dei consumatori e che posseggono i requisiti formali e documentali previsti dalle normative UE di settore, su richiesta motivata degli importatori, o dei loro rappresentanti</w:t>
      </w:r>
      <w:r>
        <w:rPr>
          <w:spacing w:val="-17"/>
          <w:sz w:val="26"/>
        </w:rPr>
        <w:t> </w:t>
      </w:r>
      <w:r>
        <w:rPr>
          <w:sz w:val="26"/>
        </w:rPr>
        <w:t>in</w:t>
      </w:r>
      <w:r>
        <w:rPr>
          <w:spacing w:val="-14"/>
          <w:sz w:val="26"/>
        </w:rPr>
        <w:t> </w:t>
      </w:r>
      <w:r>
        <w:rPr>
          <w:sz w:val="26"/>
        </w:rPr>
        <w:t>Dogana,</w:t>
      </w:r>
      <w:r>
        <w:rPr>
          <w:spacing w:val="-16"/>
          <w:sz w:val="26"/>
        </w:rPr>
        <w:t> </w:t>
      </w:r>
      <w:r>
        <w:rPr>
          <w:sz w:val="26"/>
        </w:rPr>
        <w:t>che</w:t>
      </w:r>
      <w:r>
        <w:rPr>
          <w:spacing w:val="-17"/>
          <w:sz w:val="26"/>
        </w:rPr>
        <w:t> </w:t>
      </w:r>
      <w:r>
        <w:rPr>
          <w:sz w:val="26"/>
        </w:rPr>
        <w:t>non</w:t>
      </w:r>
      <w:r>
        <w:rPr>
          <w:spacing w:val="-14"/>
          <w:sz w:val="26"/>
        </w:rPr>
        <w:t> </w:t>
      </w:r>
      <w:r>
        <w:rPr>
          <w:sz w:val="26"/>
        </w:rPr>
        <w:t>risultano</w:t>
      </w:r>
      <w:r>
        <w:rPr>
          <w:spacing w:val="-15"/>
          <w:sz w:val="26"/>
        </w:rPr>
        <w:t> </w:t>
      </w:r>
      <w:r>
        <w:rPr>
          <w:sz w:val="26"/>
        </w:rPr>
        <w:t>segnalati</w:t>
      </w:r>
      <w:r>
        <w:rPr>
          <w:spacing w:val="-16"/>
          <w:sz w:val="26"/>
        </w:rPr>
        <w:t> </w:t>
      </w:r>
      <w:r>
        <w:rPr>
          <w:sz w:val="26"/>
        </w:rPr>
        <w:t>nelle</w:t>
      </w:r>
      <w:r>
        <w:rPr>
          <w:spacing w:val="-14"/>
          <w:sz w:val="26"/>
        </w:rPr>
        <w:t> </w:t>
      </w:r>
      <w:r>
        <w:rPr>
          <w:sz w:val="26"/>
        </w:rPr>
        <w:t>banche</w:t>
      </w:r>
      <w:r>
        <w:rPr>
          <w:spacing w:val="-13"/>
          <w:sz w:val="26"/>
        </w:rPr>
        <w:t> </w:t>
      </w:r>
      <w:r>
        <w:rPr>
          <w:sz w:val="26"/>
        </w:rPr>
        <w:t>dati</w:t>
      </w:r>
      <w:r>
        <w:rPr>
          <w:spacing w:val="-17"/>
          <w:sz w:val="26"/>
        </w:rPr>
        <w:t> </w:t>
      </w:r>
      <w:r>
        <w:rPr>
          <w:sz w:val="26"/>
        </w:rPr>
        <w:t>di</w:t>
      </w:r>
      <w:r>
        <w:rPr>
          <w:spacing w:val="-17"/>
          <w:sz w:val="26"/>
        </w:rPr>
        <w:t> </w:t>
      </w:r>
      <w:r>
        <w:rPr>
          <w:sz w:val="26"/>
        </w:rPr>
        <w:t>ADM</w:t>
      </w:r>
      <w:r>
        <w:rPr>
          <w:spacing w:val="-16"/>
          <w:sz w:val="26"/>
        </w:rPr>
        <w:t> </w:t>
      </w:r>
      <w:r>
        <w:rPr>
          <w:sz w:val="26"/>
        </w:rPr>
        <w:t>per</w:t>
      </w:r>
      <w:r>
        <w:rPr>
          <w:spacing w:val="-16"/>
          <w:sz w:val="26"/>
        </w:rPr>
        <w:t> </w:t>
      </w:r>
      <w:r>
        <w:rPr>
          <w:sz w:val="26"/>
        </w:rPr>
        <w:t>profili di rischio, in attesa dell’esito degli accertamenti analitici effettuati dai laboratori di ADM, l’Ufficio delle Dogane adotta un provvedimento di sospensione dello svincolo ex. art. 27 del Regolamento (CE) 765/2008 e può procedere allo sdoganamento con contestuale emissione di una bolletta doganale A20 per l’invio della spedizione presso il luogo di destinazione</w:t>
      </w:r>
      <w:r>
        <w:rPr>
          <w:spacing w:val="-19"/>
          <w:sz w:val="26"/>
        </w:rPr>
        <w:t> </w:t>
      </w:r>
      <w:r>
        <w:rPr>
          <w:sz w:val="26"/>
        </w:rPr>
        <w:t>indicato</w:t>
      </w:r>
      <w:r>
        <w:rPr>
          <w:spacing w:val="-19"/>
          <w:sz w:val="26"/>
        </w:rPr>
        <w:t> </w:t>
      </w:r>
      <w:r>
        <w:rPr>
          <w:sz w:val="26"/>
        </w:rPr>
        <w:t>dall’importatore,</w:t>
      </w:r>
      <w:r>
        <w:rPr>
          <w:spacing w:val="-20"/>
          <w:sz w:val="26"/>
        </w:rPr>
        <w:t> </w:t>
      </w:r>
      <w:r>
        <w:rPr>
          <w:sz w:val="26"/>
        </w:rPr>
        <w:t>con</w:t>
      </w:r>
      <w:r>
        <w:rPr>
          <w:spacing w:val="-15"/>
          <w:sz w:val="26"/>
        </w:rPr>
        <w:t> </w:t>
      </w:r>
      <w:r>
        <w:rPr>
          <w:sz w:val="26"/>
        </w:rPr>
        <w:t>divieto</w:t>
      </w:r>
      <w:r>
        <w:rPr>
          <w:spacing w:val="-15"/>
          <w:sz w:val="26"/>
        </w:rPr>
        <w:t> </w:t>
      </w:r>
      <w:r>
        <w:rPr>
          <w:sz w:val="26"/>
        </w:rPr>
        <w:t>di</w:t>
      </w:r>
      <w:r>
        <w:rPr>
          <w:spacing w:val="-18"/>
          <w:sz w:val="26"/>
        </w:rPr>
        <w:t> </w:t>
      </w:r>
      <w:r>
        <w:rPr>
          <w:sz w:val="26"/>
        </w:rPr>
        <w:t>commercializzazione,</w:t>
      </w:r>
      <w:r>
        <w:rPr>
          <w:spacing w:val="-15"/>
          <w:sz w:val="26"/>
        </w:rPr>
        <w:t> </w:t>
      </w:r>
      <w:r>
        <w:rPr>
          <w:sz w:val="26"/>
        </w:rPr>
        <w:t>sottoposta</w:t>
      </w:r>
      <w:r>
        <w:rPr>
          <w:spacing w:val="-21"/>
          <w:sz w:val="26"/>
        </w:rPr>
        <w:t> </w:t>
      </w:r>
      <w:r>
        <w:rPr>
          <w:sz w:val="26"/>
        </w:rPr>
        <w:t>alla vigilanza di ADM in applicazione della normativa nazionale e unionale di</w:t>
      </w:r>
      <w:r>
        <w:rPr>
          <w:spacing w:val="-11"/>
          <w:sz w:val="26"/>
        </w:rPr>
        <w:t> </w:t>
      </w:r>
      <w:r>
        <w:rPr>
          <w:sz w:val="26"/>
        </w:rPr>
        <w:t>riferimento.</w:t>
      </w:r>
    </w:p>
    <w:p>
      <w:pPr>
        <w:pStyle w:val="ListParagraph"/>
        <w:numPr>
          <w:ilvl w:val="0"/>
          <w:numId w:val="1"/>
        </w:numPr>
        <w:tabs>
          <w:tab w:pos="903" w:val="left" w:leader="none"/>
        </w:tabs>
        <w:spacing w:line="240" w:lineRule="auto" w:before="4" w:after="0"/>
        <w:ind w:left="902" w:right="116" w:hanging="360"/>
        <w:jc w:val="both"/>
        <w:rPr>
          <w:rFonts w:ascii="Times New Roman" w:hAnsi="Times New Roman"/>
          <w:sz w:val="26"/>
        </w:rPr>
      </w:pPr>
      <w:r>
        <w:rPr>
          <w:sz w:val="26"/>
        </w:rPr>
        <w:t>Per le ipotesi di cui al comma 1, si intende acquisito sia il parere favorevole del MISE,</w:t>
      </w:r>
      <w:r>
        <w:rPr>
          <w:spacing w:val="-46"/>
          <w:sz w:val="26"/>
        </w:rPr>
        <w:t> </w:t>
      </w:r>
      <w:r>
        <w:rPr>
          <w:sz w:val="26"/>
        </w:rPr>
        <w:t>sia il cd “provvedimento interlocutorio”, ai sensi dell’articolo 28 del Reg. (CE) n. 765 del 2008,</w:t>
      </w:r>
      <w:r>
        <w:rPr>
          <w:spacing w:val="-16"/>
          <w:sz w:val="26"/>
        </w:rPr>
        <w:t> </w:t>
      </w:r>
      <w:r>
        <w:rPr>
          <w:sz w:val="26"/>
        </w:rPr>
        <w:t>con</w:t>
      </w:r>
      <w:r>
        <w:rPr>
          <w:spacing w:val="-19"/>
          <w:sz w:val="26"/>
        </w:rPr>
        <w:t> </w:t>
      </w:r>
      <w:r>
        <w:rPr>
          <w:sz w:val="26"/>
        </w:rPr>
        <w:t>conseguente</w:t>
      </w:r>
      <w:r>
        <w:rPr>
          <w:spacing w:val="-19"/>
          <w:sz w:val="26"/>
        </w:rPr>
        <w:t> </w:t>
      </w:r>
      <w:r>
        <w:rPr>
          <w:sz w:val="26"/>
        </w:rPr>
        <w:t>efficacia</w:t>
      </w:r>
      <w:r>
        <w:rPr>
          <w:spacing w:val="-16"/>
          <w:sz w:val="26"/>
        </w:rPr>
        <w:t> </w:t>
      </w:r>
      <w:r>
        <w:rPr>
          <w:sz w:val="26"/>
        </w:rPr>
        <w:t>della</w:t>
      </w:r>
      <w:r>
        <w:rPr>
          <w:spacing w:val="-15"/>
          <w:sz w:val="26"/>
        </w:rPr>
        <w:t> </w:t>
      </w:r>
      <w:r>
        <w:rPr>
          <w:sz w:val="26"/>
        </w:rPr>
        <w:t>sospensione</w:t>
      </w:r>
      <w:r>
        <w:rPr>
          <w:spacing w:val="-14"/>
          <w:sz w:val="26"/>
        </w:rPr>
        <w:t> </w:t>
      </w:r>
      <w:r>
        <w:rPr>
          <w:sz w:val="26"/>
        </w:rPr>
        <w:t>dello</w:t>
      </w:r>
      <w:r>
        <w:rPr>
          <w:spacing w:val="-15"/>
          <w:sz w:val="26"/>
        </w:rPr>
        <w:t> </w:t>
      </w:r>
      <w:r>
        <w:rPr>
          <w:sz w:val="26"/>
        </w:rPr>
        <w:t>svincolo</w:t>
      </w:r>
      <w:r>
        <w:rPr>
          <w:spacing w:val="-15"/>
          <w:sz w:val="26"/>
        </w:rPr>
        <w:t> </w:t>
      </w:r>
      <w:r>
        <w:rPr>
          <w:sz w:val="26"/>
        </w:rPr>
        <w:t>fino</w:t>
      </w:r>
      <w:r>
        <w:rPr>
          <w:spacing w:val="-15"/>
          <w:sz w:val="26"/>
        </w:rPr>
        <w:t> </w:t>
      </w:r>
      <w:r>
        <w:rPr>
          <w:sz w:val="26"/>
        </w:rPr>
        <w:t>all’adozione</w:t>
      </w:r>
      <w:r>
        <w:rPr>
          <w:spacing w:val="-19"/>
          <w:sz w:val="26"/>
        </w:rPr>
        <w:t> </w:t>
      </w:r>
      <w:r>
        <w:rPr>
          <w:sz w:val="26"/>
        </w:rPr>
        <w:t>da</w:t>
      </w:r>
      <w:r>
        <w:rPr>
          <w:spacing w:val="-16"/>
          <w:sz w:val="26"/>
        </w:rPr>
        <w:t> </w:t>
      </w:r>
      <w:r>
        <w:rPr>
          <w:sz w:val="26"/>
        </w:rPr>
        <w:t>parte dello stesso MISE della decisione definitiva nei soli casi di analisi</w:t>
      </w:r>
      <w:r>
        <w:rPr>
          <w:spacing w:val="-3"/>
          <w:sz w:val="26"/>
        </w:rPr>
        <w:t> </w:t>
      </w:r>
      <w:r>
        <w:rPr>
          <w:sz w:val="26"/>
        </w:rPr>
        <w:t>difformi.</w:t>
      </w:r>
    </w:p>
    <w:p>
      <w:pPr>
        <w:spacing w:after="0" w:line="240" w:lineRule="auto"/>
        <w:jc w:val="both"/>
        <w:rPr>
          <w:rFonts w:ascii="Times New Roman" w:hAnsi="Times New Roman"/>
          <w:sz w:val="26"/>
        </w:rPr>
        <w:sectPr>
          <w:pgSz w:w="11910" w:h="16840"/>
          <w:pgMar w:header="697" w:footer="727" w:top="2240" w:bottom="920" w:left="960" w:right="1000"/>
        </w:sect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ListParagraph"/>
        <w:numPr>
          <w:ilvl w:val="0"/>
          <w:numId w:val="1"/>
        </w:numPr>
        <w:tabs>
          <w:tab w:pos="903" w:val="left" w:leader="none"/>
        </w:tabs>
        <w:spacing w:line="240" w:lineRule="auto" w:before="0" w:after="0"/>
        <w:ind w:left="902" w:right="123" w:hanging="360"/>
        <w:jc w:val="both"/>
        <w:rPr>
          <w:sz w:val="26"/>
        </w:rPr>
      </w:pPr>
      <w:r>
        <w:rPr>
          <w:sz w:val="26"/>
        </w:rPr>
        <w:t>Nei casi di esito conforme delle analisi di laboratorio, l’Ufficio delle Dogane procede a svincolare direttamente le merci senza indugio e senza il coinvolgimento del</w:t>
      </w:r>
      <w:r>
        <w:rPr>
          <w:spacing w:val="-13"/>
          <w:sz w:val="26"/>
        </w:rPr>
        <w:t> </w:t>
      </w:r>
      <w:r>
        <w:rPr>
          <w:sz w:val="26"/>
        </w:rPr>
        <w:t>MISE.</w:t>
      </w:r>
    </w:p>
    <w:p>
      <w:pPr>
        <w:pStyle w:val="ListParagraph"/>
        <w:numPr>
          <w:ilvl w:val="0"/>
          <w:numId w:val="1"/>
        </w:numPr>
        <w:tabs>
          <w:tab w:pos="903" w:val="left" w:leader="none"/>
        </w:tabs>
        <w:spacing w:line="240" w:lineRule="auto" w:before="1" w:after="0"/>
        <w:ind w:left="902" w:right="116" w:hanging="360"/>
        <w:jc w:val="both"/>
        <w:rPr>
          <w:rFonts w:ascii="Times New Roman" w:hAnsi="Times New Roman"/>
          <w:sz w:val="26"/>
        </w:rPr>
      </w:pPr>
      <w:r>
        <w:rPr>
          <w:sz w:val="26"/>
        </w:rPr>
        <w:t>In caso di esito difforme delle analisi, il responsabile del laboratorio trasmette una relazione di servizio allegando i relativi certificati aventi fede pubblica all’Ufficio delle Dogane che, ove ne ricorrano i presupposti, segnala la notizia di reato all’Autorità giudiziaria competente per l’attivazione delle conseguenti operatività con le Forze di Polizia.</w:t>
      </w:r>
    </w:p>
    <w:p>
      <w:pPr>
        <w:pStyle w:val="ListParagraph"/>
        <w:numPr>
          <w:ilvl w:val="0"/>
          <w:numId w:val="1"/>
        </w:numPr>
        <w:tabs>
          <w:tab w:pos="903" w:val="left" w:leader="none"/>
        </w:tabs>
        <w:spacing w:line="240" w:lineRule="auto" w:before="0" w:after="0"/>
        <w:ind w:left="902" w:right="120" w:hanging="360"/>
        <w:jc w:val="both"/>
        <w:rPr>
          <w:rFonts w:ascii="Times New Roman" w:hAnsi="Times New Roman"/>
          <w:sz w:val="26"/>
        </w:rPr>
      </w:pPr>
      <w:r>
        <w:rPr>
          <w:sz w:val="26"/>
        </w:rPr>
        <w:t>Nei casi di cui al comma 4, l’Ufficio delle Dogane acquisisce gli atti inerenti all’importazione,</w:t>
      </w:r>
      <w:r>
        <w:rPr>
          <w:spacing w:val="-17"/>
          <w:sz w:val="26"/>
        </w:rPr>
        <w:t> </w:t>
      </w:r>
      <w:r>
        <w:rPr>
          <w:sz w:val="26"/>
        </w:rPr>
        <w:t>nonché</w:t>
      </w:r>
      <w:r>
        <w:rPr>
          <w:spacing w:val="-15"/>
          <w:sz w:val="26"/>
        </w:rPr>
        <w:t> </w:t>
      </w:r>
      <w:r>
        <w:rPr>
          <w:sz w:val="26"/>
        </w:rPr>
        <w:t>gli</w:t>
      </w:r>
      <w:r>
        <w:rPr>
          <w:spacing w:val="-14"/>
          <w:sz w:val="26"/>
        </w:rPr>
        <w:t> </w:t>
      </w:r>
      <w:r>
        <w:rPr>
          <w:sz w:val="26"/>
        </w:rPr>
        <w:t>esiti</w:t>
      </w:r>
      <w:r>
        <w:rPr>
          <w:spacing w:val="-15"/>
          <w:sz w:val="26"/>
        </w:rPr>
        <w:t> </w:t>
      </w:r>
      <w:r>
        <w:rPr>
          <w:sz w:val="26"/>
        </w:rPr>
        <w:t>difformi</w:t>
      </w:r>
      <w:r>
        <w:rPr>
          <w:spacing w:val="-15"/>
          <w:sz w:val="26"/>
        </w:rPr>
        <w:t> </w:t>
      </w:r>
      <w:r>
        <w:rPr>
          <w:sz w:val="26"/>
        </w:rPr>
        <w:t>delle</w:t>
      </w:r>
      <w:r>
        <w:rPr>
          <w:spacing w:val="-10"/>
          <w:sz w:val="26"/>
        </w:rPr>
        <w:t> </w:t>
      </w:r>
      <w:r>
        <w:rPr>
          <w:sz w:val="26"/>
        </w:rPr>
        <w:t>analisi,</w:t>
      </w:r>
      <w:r>
        <w:rPr>
          <w:spacing w:val="-12"/>
          <w:sz w:val="26"/>
        </w:rPr>
        <w:t> </w:t>
      </w:r>
      <w:r>
        <w:rPr>
          <w:sz w:val="26"/>
        </w:rPr>
        <w:t>trasmettendone</w:t>
      </w:r>
      <w:r>
        <w:rPr>
          <w:spacing w:val="-10"/>
          <w:sz w:val="26"/>
        </w:rPr>
        <w:t> </w:t>
      </w:r>
      <w:r>
        <w:rPr>
          <w:sz w:val="26"/>
        </w:rPr>
        <w:t>la</w:t>
      </w:r>
      <w:r>
        <w:rPr>
          <w:spacing w:val="-16"/>
          <w:sz w:val="26"/>
        </w:rPr>
        <w:t> </w:t>
      </w:r>
      <w:r>
        <w:rPr>
          <w:sz w:val="26"/>
        </w:rPr>
        <w:t>documentazione al MISE ai fini dell’adozione della decisione</w:t>
      </w:r>
      <w:r>
        <w:rPr>
          <w:spacing w:val="6"/>
          <w:sz w:val="26"/>
        </w:rPr>
        <w:t> </w:t>
      </w:r>
      <w:r>
        <w:rPr>
          <w:sz w:val="26"/>
        </w:rPr>
        <w:t>definitiva.</w:t>
      </w:r>
    </w:p>
    <w:p>
      <w:pPr>
        <w:pStyle w:val="BodyText"/>
        <w:rPr>
          <w:sz w:val="28"/>
        </w:rPr>
      </w:pPr>
    </w:p>
    <w:p>
      <w:pPr>
        <w:pStyle w:val="BodyText"/>
        <w:rPr>
          <w:sz w:val="28"/>
        </w:rPr>
      </w:pPr>
    </w:p>
    <w:p>
      <w:pPr>
        <w:pStyle w:val="BodyText"/>
        <w:spacing w:before="7"/>
        <w:rPr>
          <w:sz w:val="23"/>
        </w:rPr>
      </w:pPr>
    </w:p>
    <w:p>
      <w:pPr>
        <w:spacing w:before="0"/>
        <w:ind w:left="283" w:right="220" w:firstLine="0"/>
        <w:jc w:val="center"/>
        <w:rPr>
          <w:b/>
          <w:sz w:val="26"/>
        </w:rPr>
      </w:pPr>
      <w:r>
        <w:rPr>
          <w:b/>
          <w:sz w:val="26"/>
        </w:rPr>
        <w:t>A</w:t>
      </w:r>
      <w:r>
        <w:rPr>
          <w:b/>
          <w:sz w:val="21"/>
        </w:rPr>
        <w:t>RTICOLO </w:t>
      </w:r>
      <w:r>
        <w:rPr>
          <w:b/>
          <w:sz w:val="26"/>
        </w:rPr>
        <w:t>2</w:t>
      </w:r>
    </w:p>
    <w:p>
      <w:pPr>
        <w:pStyle w:val="BodyText"/>
        <w:ind w:left="283" w:right="222"/>
        <w:jc w:val="center"/>
      </w:pPr>
      <w:r>
        <w:rPr/>
        <w:t>(Importazione di giocattoli che evidenziano fondati sospetti di pericolosità per la sicurezza dei consumatori. Provvedimento di sospensione dello svincolo delle merci)</w:t>
      </w:r>
    </w:p>
    <w:p>
      <w:pPr>
        <w:pStyle w:val="BodyText"/>
        <w:spacing w:before="1"/>
      </w:pPr>
    </w:p>
    <w:p>
      <w:pPr>
        <w:pStyle w:val="ListParagraph"/>
        <w:numPr>
          <w:ilvl w:val="0"/>
          <w:numId w:val="2"/>
        </w:numPr>
        <w:tabs>
          <w:tab w:pos="903" w:val="left" w:leader="none"/>
        </w:tabs>
        <w:spacing w:line="240" w:lineRule="auto" w:before="0" w:after="0"/>
        <w:ind w:left="902" w:right="118" w:hanging="360"/>
        <w:jc w:val="both"/>
        <w:rPr>
          <w:sz w:val="26"/>
        </w:rPr>
      </w:pPr>
      <w:r>
        <w:rPr>
          <w:sz w:val="26"/>
        </w:rPr>
        <w:t>In caso di importazioni di giocattoli che evidenzino un fondato sospetto di pericolosità per</w:t>
      </w:r>
      <w:r>
        <w:rPr>
          <w:spacing w:val="-6"/>
          <w:sz w:val="26"/>
        </w:rPr>
        <w:t> </w:t>
      </w:r>
      <w:r>
        <w:rPr>
          <w:sz w:val="26"/>
        </w:rPr>
        <w:t>la</w:t>
      </w:r>
      <w:r>
        <w:rPr>
          <w:spacing w:val="-6"/>
          <w:sz w:val="26"/>
        </w:rPr>
        <w:t> </w:t>
      </w:r>
      <w:r>
        <w:rPr>
          <w:sz w:val="26"/>
        </w:rPr>
        <w:t>sicurezza</w:t>
      </w:r>
      <w:r>
        <w:rPr>
          <w:spacing w:val="-6"/>
          <w:sz w:val="26"/>
        </w:rPr>
        <w:t> </w:t>
      </w:r>
      <w:r>
        <w:rPr>
          <w:sz w:val="26"/>
        </w:rPr>
        <w:t>dei</w:t>
      </w:r>
      <w:r>
        <w:rPr>
          <w:spacing w:val="-8"/>
          <w:sz w:val="26"/>
        </w:rPr>
        <w:t> </w:t>
      </w:r>
      <w:r>
        <w:rPr>
          <w:sz w:val="26"/>
        </w:rPr>
        <w:t>consumatori</w:t>
      </w:r>
      <w:r>
        <w:rPr>
          <w:spacing w:val="-8"/>
          <w:sz w:val="26"/>
        </w:rPr>
        <w:t> </w:t>
      </w:r>
      <w:r>
        <w:rPr>
          <w:sz w:val="26"/>
        </w:rPr>
        <w:t>ai</w:t>
      </w:r>
      <w:r>
        <w:rPr>
          <w:spacing w:val="-8"/>
          <w:sz w:val="26"/>
        </w:rPr>
        <w:t> </w:t>
      </w:r>
      <w:r>
        <w:rPr>
          <w:sz w:val="26"/>
        </w:rPr>
        <w:t>sensi</w:t>
      </w:r>
      <w:r>
        <w:rPr>
          <w:spacing w:val="-8"/>
          <w:sz w:val="26"/>
        </w:rPr>
        <w:t> </w:t>
      </w:r>
      <w:r>
        <w:rPr>
          <w:sz w:val="26"/>
        </w:rPr>
        <w:t>della</w:t>
      </w:r>
      <w:r>
        <w:rPr>
          <w:spacing w:val="-6"/>
          <w:sz w:val="26"/>
        </w:rPr>
        <w:t> </w:t>
      </w:r>
      <w:r>
        <w:rPr>
          <w:sz w:val="26"/>
        </w:rPr>
        <w:t>“Convenzione”</w:t>
      </w:r>
      <w:r>
        <w:rPr>
          <w:spacing w:val="-7"/>
          <w:sz w:val="26"/>
        </w:rPr>
        <w:t> </w:t>
      </w:r>
      <w:r>
        <w:rPr>
          <w:sz w:val="26"/>
        </w:rPr>
        <w:t>e</w:t>
      </w:r>
      <w:r>
        <w:rPr>
          <w:spacing w:val="-7"/>
          <w:sz w:val="26"/>
        </w:rPr>
        <w:t> </w:t>
      </w:r>
      <w:r>
        <w:rPr>
          <w:sz w:val="26"/>
        </w:rPr>
        <w:t>della</w:t>
      </w:r>
      <w:r>
        <w:rPr>
          <w:spacing w:val="-6"/>
          <w:sz w:val="26"/>
        </w:rPr>
        <w:t> </w:t>
      </w:r>
      <w:r>
        <w:rPr>
          <w:sz w:val="26"/>
        </w:rPr>
        <w:t>nota</w:t>
      </w:r>
      <w:r>
        <w:rPr>
          <w:spacing w:val="-6"/>
          <w:sz w:val="26"/>
        </w:rPr>
        <w:t> </w:t>
      </w:r>
      <w:r>
        <w:rPr>
          <w:sz w:val="26"/>
        </w:rPr>
        <w:t>della</w:t>
      </w:r>
      <w:r>
        <w:rPr>
          <w:spacing w:val="-6"/>
          <w:sz w:val="26"/>
        </w:rPr>
        <w:t> </w:t>
      </w:r>
      <w:r>
        <w:rPr>
          <w:sz w:val="26"/>
        </w:rPr>
        <w:t>Direzione Antifrode e Controlli di ADM prot. n. 278647/RU del 12 agosto 2020, l’Ufficio delle Dogane adotta un provvedimento di sospensione dello svincolo ex. art. 27 del Regolamento</w:t>
      </w:r>
      <w:r>
        <w:rPr>
          <w:spacing w:val="-6"/>
          <w:sz w:val="26"/>
        </w:rPr>
        <w:t> </w:t>
      </w:r>
      <w:r>
        <w:rPr>
          <w:sz w:val="26"/>
        </w:rPr>
        <w:t>CE</w:t>
      </w:r>
      <w:r>
        <w:rPr>
          <w:spacing w:val="-10"/>
          <w:sz w:val="26"/>
        </w:rPr>
        <w:t> </w:t>
      </w:r>
      <w:r>
        <w:rPr>
          <w:sz w:val="26"/>
        </w:rPr>
        <w:t>765/2008,</w:t>
      </w:r>
      <w:r>
        <w:rPr>
          <w:spacing w:val="-7"/>
          <w:sz w:val="26"/>
        </w:rPr>
        <w:t> </w:t>
      </w:r>
      <w:r>
        <w:rPr>
          <w:sz w:val="26"/>
        </w:rPr>
        <w:t>acquisisce</w:t>
      </w:r>
      <w:r>
        <w:rPr>
          <w:spacing w:val="-5"/>
          <w:sz w:val="26"/>
        </w:rPr>
        <w:t> </w:t>
      </w:r>
      <w:r>
        <w:rPr>
          <w:sz w:val="26"/>
        </w:rPr>
        <w:t>tutta</w:t>
      </w:r>
      <w:r>
        <w:rPr>
          <w:spacing w:val="-8"/>
          <w:sz w:val="26"/>
        </w:rPr>
        <w:t> </w:t>
      </w:r>
      <w:r>
        <w:rPr>
          <w:sz w:val="26"/>
        </w:rPr>
        <w:t>la</w:t>
      </w:r>
      <w:r>
        <w:rPr>
          <w:spacing w:val="-8"/>
          <w:sz w:val="26"/>
        </w:rPr>
        <w:t> </w:t>
      </w:r>
      <w:r>
        <w:rPr>
          <w:sz w:val="26"/>
        </w:rPr>
        <w:t>documentazione</w:t>
      </w:r>
      <w:r>
        <w:rPr>
          <w:spacing w:val="-6"/>
          <w:sz w:val="26"/>
        </w:rPr>
        <w:t> </w:t>
      </w:r>
      <w:r>
        <w:rPr>
          <w:sz w:val="26"/>
        </w:rPr>
        <w:t>inerente</w:t>
      </w:r>
      <w:r>
        <w:rPr>
          <w:spacing w:val="-5"/>
          <w:sz w:val="26"/>
        </w:rPr>
        <w:t> </w:t>
      </w:r>
      <w:r>
        <w:rPr>
          <w:sz w:val="26"/>
        </w:rPr>
        <w:t>all’importazione e procede al prelevamento di campioni per le successive analisi da parte dei laboratori di ADM.</w:t>
      </w:r>
    </w:p>
    <w:p>
      <w:pPr>
        <w:pStyle w:val="ListParagraph"/>
        <w:numPr>
          <w:ilvl w:val="0"/>
          <w:numId w:val="2"/>
        </w:numPr>
        <w:tabs>
          <w:tab w:pos="903" w:val="left" w:leader="none"/>
        </w:tabs>
        <w:spacing w:line="240" w:lineRule="auto" w:before="0" w:after="0"/>
        <w:ind w:left="902" w:right="119" w:hanging="360"/>
        <w:jc w:val="both"/>
        <w:rPr>
          <w:sz w:val="26"/>
        </w:rPr>
      </w:pPr>
      <w:r>
        <w:rPr>
          <w:sz w:val="26"/>
        </w:rPr>
        <w:t>Per</w:t>
      </w:r>
      <w:r>
        <w:rPr>
          <w:spacing w:val="-17"/>
          <w:sz w:val="26"/>
        </w:rPr>
        <w:t> </w:t>
      </w:r>
      <w:r>
        <w:rPr>
          <w:sz w:val="26"/>
        </w:rPr>
        <w:t>le</w:t>
      </w:r>
      <w:r>
        <w:rPr>
          <w:spacing w:val="-14"/>
          <w:sz w:val="26"/>
        </w:rPr>
        <w:t> </w:t>
      </w:r>
      <w:r>
        <w:rPr>
          <w:sz w:val="26"/>
        </w:rPr>
        <w:t>ipotesi</w:t>
      </w:r>
      <w:r>
        <w:rPr>
          <w:spacing w:val="-17"/>
          <w:sz w:val="26"/>
        </w:rPr>
        <w:t> </w:t>
      </w:r>
      <w:r>
        <w:rPr>
          <w:sz w:val="26"/>
        </w:rPr>
        <w:t>di</w:t>
      </w:r>
      <w:r>
        <w:rPr>
          <w:spacing w:val="-18"/>
          <w:sz w:val="26"/>
        </w:rPr>
        <w:t> </w:t>
      </w:r>
      <w:r>
        <w:rPr>
          <w:sz w:val="26"/>
        </w:rPr>
        <w:t>cui</w:t>
      </w:r>
      <w:r>
        <w:rPr>
          <w:spacing w:val="-17"/>
          <w:sz w:val="26"/>
        </w:rPr>
        <w:t> </w:t>
      </w:r>
      <w:r>
        <w:rPr>
          <w:sz w:val="26"/>
        </w:rPr>
        <w:t>al</w:t>
      </w:r>
      <w:r>
        <w:rPr>
          <w:spacing w:val="-22"/>
          <w:sz w:val="26"/>
        </w:rPr>
        <w:t> </w:t>
      </w:r>
      <w:r>
        <w:rPr>
          <w:sz w:val="26"/>
        </w:rPr>
        <w:t>comma</w:t>
      </w:r>
      <w:r>
        <w:rPr>
          <w:spacing w:val="-16"/>
          <w:sz w:val="26"/>
        </w:rPr>
        <w:t> </w:t>
      </w:r>
      <w:r>
        <w:rPr>
          <w:sz w:val="26"/>
        </w:rPr>
        <w:t>1,</w:t>
      </w:r>
      <w:r>
        <w:rPr>
          <w:spacing w:val="-20"/>
          <w:sz w:val="26"/>
        </w:rPr>
        <w:t> </w:t>
      </w:r>
      <w:r>
        <w:rPr>
          <w:sz w:val="26"/>
        </w:rPr>
        <w:t>si</w:t>
      </w:r>
      <w:r>
        <w:rPr>
          <w:spacing w:val="-18"/>
          <w:sz w:val="26"/>
        </w:rPr>
        <w:t> </w:t>
      </w:r>
      <w:r>
        <w:rPr>
          <w:sz w:val="26"/>
        </w:rPr>
        <w:t>intende</w:t>
      </w:r>
      <w:r>
        <w:rPr>
          <w:spacing w:val="-13"/>
          <w:sz w:val="26"/>
        </w:rPr>
        <w:t> </w:t>
      </w:r>
      <w:r>
        <w:rPr>
          <w:sz w:val="26"/>
        </w:rPr>
        <w:t>acquisito</w:t>
      </w:r>
      <w:r>
        <w:rPr>
          <w:spacing w:val="-15"/>
          <w:sz w:val="26"/>
        </w:rPr>
        <w:t> </w:t>
      </w:r>
      <w:r>
        <w:rPr>
          <w:sz w:val="26"/>
        </w:rPr>
        <w:t>il</w:t>
      </w:r>
      <w:r>
        <w:rPr>
          <w:spacing w:val="-17"/>
          <w:sz w:val="26"/>
        </w:rPr>
        <w:t> </w:t>
      </w:r>
      <w:r>
        <w:rPr>
          <w:sz w:val="26"/>
        </w:rPr>
        <w:t>c.d.</w:t>
      </w:r>
      <w:r>
        <w:rPr>
          <w:spacing w:val="-16"/>
          <w:sz w:val="26"/>
        </w:rPr>
        <w:t> </w:t>
      </w:r>
      <w:r>
        <w:rPr>
          <w:sz w:val="26"/>
        </w:rPr>
        <w:t>“provvedimento</w:t>
      </w:r>
      <w:r>
        <w:rPr>
          <w:spacing w:val="-18"/>
          <w:sz w:val="26"/>
        </w:rPr>
        <w:t> </w:t>
      </w:r>
      <w:r>
        <w:rPr>
          <w:sz w:val="26"/>
        </w:rPr>
        <w:t>interlocutorio”, ai sensi dell’articolo 28 del reg. (CE) n. 765 del 2008, con conseguente efficacia della sospensione</w:t>
      </w:r>
      <w:r>
        <w:rPr>
          <w:spacing w:val="-6"/>
          <w:sz w:val="26"/>
        </w:rPr>
        <w:t> </w:t>
      </w:r>
      <w:r>
        <w:rPr>
          <w:sz w:val="26"/>
        </w:rPr>
        <w:t>dello</w:t>
      </w:r>
      <w:r>
        <w:rPr>
          <w:spacing w:val="-5"/>
          <w:sz w:val="26"/>
        </w:rPr>
        <w:t> </w:t>
      </w:r>
      <w:r>
        <w:rPr>
          <w:sz w:val="26"/>
        </w:rPr>
        <w:t>svincolo</w:t>
      </w:r>
      <w:r>
        <w:rPr>
          <w:spacing w:val="-10"/>
          <w:sz w:val="26"/>
        </w:rPr>
        <w:t> </w:t>
      </w:r>
      <w:r>
        <w:rPr>
          <w:sz w:val="26"/>
        </w:rPr>
        <w:t>fino</w:t>
      </w:r>
      <w:r>
        <w:rPr>
          <w:spacing w:val="-6"/>
          <w:sz w:val="26"/>
        </w:rPr>
        <w:t> </w:t>
      </w:r>
      <w:r>
        <w:rPr>
          <w:sz w:val="26"/>
        </w:rPr>
        <w:t>all’adozione,</w:t>
      </w:r>
      <w:r>
        <w:rPr>
          <w:spacing w:val="-11"/>
          <w:sz w:val="26"/>
        </w:rPr>
        <w:t> </w:t>
      </w:r>
      <w:r>
        <w:rPr>
          <w:sz w:val="26"/>
        </w:rPr>
        <w:t>da</w:t>
      </w:r>
      <w:r>
        <w:rPr>
          <w:spacing w:val="-11"/>
          <w:sz w:val="26"/>
        </w:rPr>
        <w:t> </w:t>
      </w:r>
      <w:r>
        <w:rPr>
          <w:sz w:val="26"/>
        </w:rPr>
        <w:t>parte</w:t>
      </w:r>
      <w:r>
        <w:rPr>
          <w:spacing w:val="-6"/>
          <w:sz w:val="26"/>
        </w:rPr>
        <w:t> </w:t>
      </w:r>
      <w:r>
        <w:rPr>
          <w:sz w:val="26"/>
        </w:rPr>
        <w:t>del</w:t>
      </w:r>
      <w:r>
        <w:rPr>
          <w:spacing w:val="-9"/>
          <w:sz w:val="26"/>
        </w:rPr>
        <w:t> </w:t>
      </w:r>
      <w:r>
        <w:rPr>
          <w:sz w:val="26"/>
        </w:rPr>
        <w:t>MISE,</w:t>
      </w:r>
      <w:r>
        <w:rPr>
          <w:spacing w:val="-6"/>
          <w:sz w:val="26"/>
        </w:rPr>
        <w:t> </w:t>
      </w:r>
      <w:r>
        <w:rPr>
          <w:sz w:val="26"/>
        </w:rPr>
        <w:t>della</w:t>
      </w:r>
      <w:r>
        <w:rPr>
          <w:spacing w:val="-7"/>
          <w:sz w:val="26"/>
        </w:rPr>
        <w:t> </w:t>
      </w:r>
      <w:r>
        <w:rPr>
          <w:sz w:val="26"/>
        </w:rPr>
        <w:t>decisione</w:t>
      </w:r>
      <w:r>
        <w:rPr>
          <w:spacing w:val="-6"/>
          <w:sz w:val="26"/>
        </w:rPr>
        <w:t> </w:t>
      </w:r>
      <w:r>
        <w:rPr>
          <w:sz w:val="26"/>
        </w:rPr>
        <w:t>definitiva da assumersi nei soli casi di analisi e/o documentazione</w:t>
      </w:r>
      <w:r>
        <w:rPr>
          <w:spacing w:val="-1"/>
          <w:sz w:val="26"/>
        </w:rPr>
        <w:t> </w:t>
      </w:r>
      <w:r>
        <w:rPr>
          <w:sz w:val="26"/>
        </w:rPr>
        <w:t>difformi.</w:t>
      </w:r>
    </w:p>
    <w:p>
      <w:pPr>
        <w:pStyle w:val="ListParagraph"/>
        <w:numPr>
          <w:ilvl w:val="0"/>
          <w:numId w:val="2"/>
        </w:numPr>
        <w:tabs>
          <w:tab w:pos="903" w:val="left" w:leader="none"/>
        </w:tabs>
        <w:spacing w:line="240" w:lineRule="auto" w:before="0" w:after="0"/>
        <w:ind w:left="902" w:right="121" w:hanging="360"/>
        <w:jc w:val="both"/>
        <w:rPr>
          <w:rFonts w:ascii="Times New Roman" w:hAnsi="Times New Roman"/>
          <w:sz w:val="26"/>
        </w:rPr>
      </w:pPr>
      <w:r>
        <w:rPr>
          <w:sz w:val="26"/>
        </w:rPr>
        <w:t>Nei casi di esito conforme delle analisi di laboratorio l’Ufficio delle Dogane procede direttamente a svincolare le merci senza indugio e senza il coinvolgimento del</w:t>
      </w:r>
      <w:r>
        <w:rPr>
          <w:spacing w:val="-17"/>
          <w:sz w:val="26"/>
        </w:rPr>
        <w:t> </w:t>
      </w:r>
      <w:r>
        <w:rPr>
          <w:sz w:val="26"/>
        </w:rPr>
        <w:t>MISE.</w:t>
      </w:r>
    </w:p>
    <w:p>
      <w:pPr>
        <w:pStyle w:val="ListParagraph"/>
        <w:numPr>
          <w:ilvl w:val="0"/>
          <w:numId w:val="2"/>
        </w:numPr>
        <w:tabs>
          <w:tab w:pos="903" w:val="left" w:leader="none"/>
        </w:tabs>
        <w:spacing w:line="240" w:lineRule="auto" w:before="0" w:after="0"/>
        <w:ind w:left="902" w:right="121" w:hanging="360"/>
        <w:jc w:val="both"/>
        <w:rPr>
          <w:rFonts w:ascii="Times New Roman" w:hAnsi="Times New Roman"/>
          <w:sz w:val="26"/>
        </w:rPr>
      </w:pPr>
      <w:r>
        <w:rPr>
          <w:sz w:val="26"/>
        </w:rPr>
        <w:t>In presenza, invece, di esito difforme delle analisi di laboratorio, il responsabile del laboratorio trasmette una relazione di servizio allegando i relativi certificati aventi fede pubblica</w:t>
      </w:r>
      <w:r>
        <w:rPr>
          <w:spacing w:val="-6"/>
          <w:sz w:val="26"/>
        </w:rPr>
        <w:t> </w:t>
      </w:r>
      <w:r>
        <w:rPr>
          <w:sz w:val="26"/>
        </w:rPr>
        <w:t>all’Ufficio</w:t>
      </w:r>
      <w:r>
        <w:rPr>
          <w:spacing w:val="-4"/>
          <w:sz w:val="26"/>
        </w:rPr>
        <w:t> </w:t>
      </w:r>
      <w:r>
        <w:rPr>
          <w:sz w:val="26"/>
        </w:rPr>
        <w:t>delle</w:t>
      </w:r>
      <w:r>
        <w:rPr>
          <w:spacing w:val="-4"/>
          <w:sz w:val="26"/>
        </w:rPr>
        <w:t> </w:t>
      </w:r>
      <w:r>
        <w:rPr>
          <w:sz w:val="26"/>
        </w:rPr>
        <w:t>Dogane</w:t>
      </w:r>
      <w:r>
        <w:rPr>
          <w:spacing w:val="-4"/>
          <w:sz w:val="26"/>
        </w:rPr>
        <w:t> </w:t>
      </w:r>
      <w:r>
        <w:rPr>
          <w:sz w:val="26"/>
        </w:rPr>
        <w:t>che,</w:t>
      </w:r>
      <w:r>
        <w:rPr>
          <w:spacing w:val="-5"/>
          <w:sz w:val="26"/>
        </w:rPr>
        <w:t> </w:t>
      </w:r>
      <w:r>
        <w:rPr>
          <w:sz w:val="26"/>
        </w:rPr>
        <w:t>ove</w:t>
      </w:r>
      <w:r>
        <w:rPr>
          <w:spacing w:val="-4"/>
          <w:sz w:val="26"/>
        </w:rPr>
        <w:t> </w:t>
      </w:r>
      <w:r>
        <w:rPr>
          <w:sz w:val="26"/>
        </w:rPr>
        <w:t>ne</w:t>
      </w:r>
      <w:r>
        <w:rPr>
          <w:spacing w:val="-4"/>
          <w:sz w:val="26"/>
        </w:rPr>
        <w:t> </w:t>
      </w:r>
      <w:r>
        <w:rPr>
          <w:sz w:val="26"/>
        </w:rPr>
        <w:t>ricorrano</w:t>
      </w:r>
      <w:r>
        <w:rPr>
          <w:spacing w:val="-4"/>
          <w:sz w:val="26"/>
        </w:rPr>
        <w:t> </w:t>
      </w:r>
      <w:r>
        <w:rPr>
          <w:sz w:val="26"/>
        </w:rPr>
        <w:t>i</w:t>
      </w:r>
      <w:r>
        <w:rPr>
          <w:spacing w:val="-7"/>
          <w:sz w:val="26"/>
        </w:rPr>
        <w:t> </w:t>
      </w:r>
      <w:r>
        <w:rPr>
          <w:sz w:val="26"/>
        </w:rPr>
        <w:t>presupposti,</w:t>
      </w:r>
      <w:r>
        <w:rPr>
          <w:spacing w:val="-5"/>
          <w:sz w:val="26"/>
        </w:rPr>
        <w:t> </w:t>
      </w:r>
      <w:r>
        <w:rPr>
          <w:sz w:val="26"/>
        </w:rPr>
        <w:t>segnala</w:t>
      </w:r>
      <w:r>
        <w:rPr>
          <w:spacing w:val="-6"/>
          <w:sz w:val="26"/>
        </w:rPr>
        <w:t> </w:t>
      </w:r>
      <w:r>
        <w:rPr>
          <w:sz w:val="26"/>
        </w:rPr>
        <w:t>la</w:t>
      </w:r>
      <w:r>
        <w:rPr>
          <w:spacing w:val="-6"/>
          <w:sz w:val="26"/>
        </w:rPr>
        <w:t> </w:t>
      </w:r>
      <w:r>
        <w:rPr>
          <w:sz w:val="26"/>
        </w:rPr>
        <w:t>notizia</w:t>
      </w:r>
      <w:r>
        <w:rPr>
          <w:spacing w:val="-5"/>
          <w:sz w:val="26"/>
        </w:rPr>
        <w:t> </w:t>
      </w:r>
      <w:r>
        <w:rPr>
          <w:sz w:val="26"/>
        </w:rPr>
        <w:t>di reato</w:t>
      </w:r>
      <w:r>
        <w:rPr>
          <w:spacing w:val="-19"/>
          <w:sz w:val="26"/>
        </w:rPr>
        <w:t> </w:t>
      </w:r>
      <w:r>
        <w:rPr>
          <w:sz w:val="26"/>
        </w:rPr>
        <w:t>all’Autorità</w:t>
      </w:r>
      <w:r>
        <w:rPr>
          <w:spacing w:val="-16"/>
          <w:sz w:val="26"/>
        </w:rPr>
        <w:t> </w:t>
      </w:r>
      <w:r>
        <w:rPr>
          <w:sz w:val="26"/>
        </w:rPr>
        <w:t>giudiziaria</w:t>
      </w:r>
      <w:r>
        <w:rPr>
          <w:spacing w:val="-16"/>
          <w:sz w:val="26"/>
        </w:rPr>
        <w:t> </w:t>
      </w:r>
      <w:r>
        <w:rPr>
          <w:sz w:val="26"/>
        </w:rPr>
        <w:t>competente</w:t>
      </w:r>
      <w:r>
        <w:rPr>
          <w:spacing w:val="-19"/>
          <w:sz w:val="26"/>
        </w:rPr>
        <w:t> </w:t>
      </w:r>
      <w:r>
        <w:rPr>
          <w:sz w:val="26"/>
        </w:rPr>
        <w:t>per</w:t>
      </w:r>
      <w:r>
        <w:rPr>
          <w:spacing w:val="-22"/>
          <w:sz w:val="26"/>
        </w:rPr>
        <w:t> </w:t>
      </w:r>
      <w:r>
        <w:rPr>
          <w:sz w:val="26"/>
        </w:rPr>
        <w:t>l’attivazione</w:t>
      </w:r>
      <w:r>
        <w:rPr>
          <w:spacing w:val="-14"/>
          <w:sz w:val="26"/>
        </w:rPr>
        <w:t> </w:t>
      </w:r>
      <w:r>
        <w:rPr>
          <w:sz w:val="26"/>
        </w:rPr>
        <w:t>delle</w:t>
      </w:r>
      <w:r>
        <w:rPr>
          <w:spacing w:val="-19"/>
          <w:sz w:val="26"/>
        </w:rPr>
        <w:t> </w:t>
      </w:r>
      <w:r>
        <w:rPr>
          <w:sz w:val="26"/>
        </w:rPr>
        <w:t>conseguenti</w:t>
      </w:r>
      <w:r>
        <w:rPr>
          <w:spacing w:val="-22"/>
          <w:sz w:val="26"/>
        </w:rPr>
        <w:t> </w:t>
      </w:r>
      <w:r>
        <w:rPr>
          <w:sz w:val="26"/>
        </w:rPr>
        <w:t>operatività</w:t>
      </w:r>
      <w:r>
        <w:rPr>
          <w:spacing w:val="-16"/>
          <w:sz w:val="26"/>
        </w:rPr>
        <w:t> </w:t>
      </w:r>
      <w:r>
        <w:rPr>
          <w:sz w:val="26"/>
        </w:rPr>
        <w:t>con le Forze di</w:t>
      </w:r>
      <w:r>
        <w:rPr>
          <w:spacing w:val="7"/>
          <w:sz w:val="26"/>
        </w:rPr>
        <w:t> </w:t>
      </w:r>
      <w:r>
        <w:rPr>
          <w:sz w:val="26"/>
        </w:rPr>
        <w:t>Polizia.</w:t>
      </w:r>
    </w:p>
    <w:p>
      <w:pPr>
        <w:pStyle w:val="ListParagraph"/>
        <w:numPr>
          <w:ilvl w:val="0"/>
          <w:numId w:val="2"/>
        </w:numPr>
        <w:tabs>
          <w:tab w:pos="903" w:val="left" w:leader="none"/>
        </w:tabs>
        <w:spacing w:line="240" w:lineRule="auto" w:before="0" w:after="0"/>
        <w:ind w:left="902" w:right="118" w:hanging="360"/>
        <w:jc w:val="both"/>
        <w:rPr>
          <w:rFonts w:ascii="Times New Roman" w:hAnsi="Times New Roman"/>
          <w:sz w:val="26"/>
        </w:rPr>
      </w:pPr>
      <w:r>
        <w:rPr>
          <w:sz w:val="26"/>
        </w:rPr>
        <w:t>Nei casi di cui al comma 4, nonché nei casi in cui residui il sospetto di mancato possesso dei requisiti formali e documentali previsti dalle normative UE di settore, l’Ufficio delle Dogane – dopo aver acquisito gli esiti difformi delle analisi di laboratorio - procede a darne comunicazione al MISE per l’adozione della decisione</w:t>
      </w:r>
      <w:r>
        <w:rPr>
          <w:spacing w:val="2"/>
          <w:sz w:val="26"/>
        </w:rPr>
        <w:t> </w:t>
      </w:r>
      <w:r>
        <w:rPr>
          <w:sz w:val="26"/>
        </w:rPr>
        <w:t>definitiva.</w:t>
      </w:r>
    </w:p>
    <w:p>
      <w:pPr>
        <w:spacing w:after="0" w:line="240" w:lineRule="auto"/>
        <w:jc w:val="both"/>
        <w:rPr>
          <w:rFonts w:ascii="Times New Roman" w:hAnsi="Times New Roman"/>
          <w:sz w:val="26"/>
        </w:rPr>
        <w:sectPr>
          <w:pgSz w:w="11910" w:h="16840"/>
          <w:pgMar w:header="697" w:footer="727" w:top="2240" w:bottom="920" w:left="960" w:right="1000"/>
        </w:sectPr>
      </w:pPr>
    </w:p>
    <w:p>
      <w:pPr>
        <w:pStyle w:val="BodyText"/>
        <w:rPr>
          <w:sz w:val="20"/>
        </w:rPr>
      </w:pPr>
    </w:p>
    <w:p>
      <w:pPr>
        <w:pStyle w:val="BodyText"/>
        <w:rPr>
          <w:sz w:val="20"/>
        </w:rPr>
      </w:pPr>
    </w:p>
    <w:p>
      <w:pPr>
        <w:pStyle w:val="BodyText"/>
        <w:rPr>
          <w:sz w:val="20"/>
        </w:rPr>
      </w:pPr>
    </w:p>
    <w:p>
      <w:pPr>
        <w:pStyle w:val="BodyText"/>
        <w:spacing w:before="2"/>
        <w:rPr>
          <w:sz w:val="24"/>
        </w:rPr>
      </w:pPr>
    </w:p>
    <w:p>
      <w:pPr>
        <w:spacing w:before="0"/>
        <w:ind w:left="283" w:right="220" w:firstLine="0"/>
        <w:jc w:val="center"/>
        <w:rPr>
          <w:b/>
          <w:sz w:val="26"/>
        </w:rPr>
      </w:pPr>
      <w:r>
        <w:rPr>
          <w:b/>
          <w:sz w:val="26"/>
        </w:rPr>
        <w:t>A</w:t>
      </w:r>
      <w:r>
        <w:rPr>
          <w:b/>
          <w:sz w:val="21"/>
        </w:rPr>
        <w:t>RTICOLO </w:t>
      </w:r>
      <w:r>
        <w:rPr>
          <w:b/>
          <w:sz w:val="26"/>
        </w:rPr>
        <w:t>3</w:t>
      </w:r>
    </w:p>
    <w:p>
      <w:pPr>
        <w:pStyle w:val="BodyText"/>
        <w:ind w:left="273" w:right="222"/>
        <w:jc w:val="center"/>
      </w:pPr>
      <w:r>
        <w:rPr/>
        <w:t>(dispositivi di protezione individuale)</w:t>
      </w:r>
    </w:p>
    <w:p>
      <w:pPr>
        <w:pStyle w:val="BodyText"/>
        <w:spacing w:before="1"/>
      </w:pPr>
    </w:p>
    <w:p>
      <w:pPr>
        <w:pStyle w:val="ListParagraph"/>
        <w:numPr>
          <w:ilvl w:val="0"/>
          <w:numId w:val="3"/>
        </w:numPr>
        <w:tabs>
          <w:tab w:pos="903" w:val="left" w:leader="none"/>
        </w:tabs>
        <w:spacing w:line="240" w:lineRule="auto" w:before="0" w:after="0"/>
        <w:ind w:left="902" w:right="118" w:hanging="360"/>
        <w:jc w:val="both"/>
        <w:rPr>
          <w:sz w:val="26"/>
        </w:rPr>
      </w:pPr>
      <w:r>
        <w:rPr>
          <w:sz w:val="26"/>
        </w:rPr>
        <w:t>Qualora dalla preliminare verifica effettuata dagli Uffici doganali il prodotto sia qualificabile come dispositivo di protezione individuale ai sensi del Regolamento (UE) n. 2016/425, per l’effettuazione dei relativi controlli, la preventiva istruttoria di</w:t>
      </w:r>
      <w:r>
        <w:rPr>
          <w:spacing w:val="-41"/>
          <w:sz w:val="26"/>
        </w:rPr>
        <w:t> </w:t>
      </w:r>
      <w:r>
        <w:rPr>
          <w:sz w:val="26"/>
        </w:rPr>
        <w:t>competenza degli</w:t>
      </w:r>
      <w:r>
        <w:rPr>
          <w:spacing w:val="-13"/>
          <w:sz w:val="26"/>
        </w:rPr>
        <w:t> </w:t>
      </w:r>
      <w:r>
        <w:rPr>
          <w:sz w:val="26"/>
        </w:rPr>
        <w:t>Uffici</w:t>
      </w:r>
      <w:r>
        <w:rPr>
          <w:spacing w:val="-13"/>
          <w:sz w:val="26"/>
        </w:rPr>
        <w:t> </w:t>
      </w:r>
      <w:r>
        <w:rPr>
          <w:sz w:val="26"/>
        </w:rPr>
        <w:t>delle</w:t>
      </w:r>
      <w:r>
        <w:rPr>
          <w:spacing w:val="-8"/>
          <w:sz w:val="26"/>
        </w:rPr>
        <w:t> </w:t>
      </w:r>
      <w:r>
        <w:rPr>
          <w:sz w:val="26"/>
        </w:rPr>
        <w:t>dogane</w:t>
      </w:r>
      <w:r>
        <w:rPr>
          <w:spacing w:val="-8"/>
          <w:sz w:val="26"/>
        </w:rPr>
        <w:t> </w:t>
      </w:r>
      <w:r>
        <w:rPr>
          <w:sz w:val="26"/>
        </w:rPr>
        <w:t>tiene</w:t>
      </w:r>
      <w:r>
        <w:rPr>
          <w:spacing w:val="-13"/>
          <w:sz w:val="26"/>
        </w:rPr>
        <w:t> </w:t>
      </w:r>
      <w:r>
        <w:rPr>
          <w:sz w:val="26"/>
        </w:rPr>
        <w:t>conto</w:t>
      </w:r>
      <w:r>
        <w:rPr>
          <w:spacing w:val="-9"/>
          <w:sz w:val="26"/>
        </w:rPr>
        <w:t> </w:t>
      </w:r>
      <w:r>
        <w:rPr>
          <w:sz w:val="26"/>
        </w:rPr>
        <w:t>degli</w:t>
      </w:r>
      <w:r>
        <w:rPr>
          <w:spacing w:val="-13"/>
          <w:sz w:val="26"/>
        </w:rPr>
        <w:t> </w:t>
      </w:r>
      <w:r>
        <w:rPr>
          <w:sz w:val="26"/>
        </w:rPr>
        <w:t>elementi</w:t>
      </w:r>
      <w:r>
        <w:rPr>
          <w:spacing w:val="-13"/>
          <w:sz w:val="26"/>
        </w:rPr>
        <w:t> </w:t>
      </w:r>
      <w:r>
        <w:rPr>
          <w:sz w:val="26"/>
        </w:rPr>
        <w:t>informativi</w:t>
      </w:r>
      <w:r>
        <w:rPr>
          <w:spacing w:val="-13"/>
          <w:sz w:val="26"/>
        </w:rPr>
        <w:t> </w:t>
      </w:r>
      <w:r>
        <w:rPr>
          <w:sz w:val="26"/>
        </w:rPr>
        <w:t>riportati</w:t>
      </w:r>
      <w:r>
        <w:rPr>
          <w:spacing w:val="-13"/>
          <w:sz w:val="26"/>
        </w:rPr>
        <w:t> </w:t>
      </w:r>
      <w:r>
        <w:rPr>
          <w:sz w:val="26"/>
        </w:rPr>
        <w:t>nell’Allegato</w:t>
      </w:r>
      <w:r>
        <w:rPr>
          <w:spacing w:val="-9"/>
          <w:sz w:val="26"/>
        </w:rPr>
        <w:t> </w:t>
      </w:r>
      <w:r>
        <w:rPr>
          <w:sz w:val="26"/>
        </w:rPr>
        <w:t>I</w:t>
      </w:r>
      <w:r>
        <w:rPr>
          <w:spacing w:val="-11"/>
          <w:sz w:val="26"/>
        </w:rPr>
        <w:t> </w:t>
      </w:r>
      <w:r>
        <w:rPr>
          <w:sz w:val="26"/>
        </w:rPr>
        <w:t>alla presente</w:t>
      </w:r>
      <w:r>
        <w:rPr>
          <w:spacing w:val="-9"/>
          <w:sz w:val="26"/>
        </w:rPr>
        <w:t> </w:t>
      </w:r>
      <w:r>
        <w:rPr>
          <w:sz w:val="26"/>
        </w:rPr>
        <w:t>determinazione,</w:t>
      </w:r>
      <w:r>
        <w:rPr>
          <w:spacing w:val="-5"/>
          <w:sz w:val="26"/>
        </w:rPr>
        <w:t> </w:t>
      </w:r>
      <w:r>
        <w:rPr>
          <w:sz w:val="26"/>
        </w:rPr>
        <w:t>anche</w:t>
      </w:r>
      <w:r>
        <w:rPr>
          <w:spacing w:val="-5"/>
          <w:sz w:val="26"/>
        </w:rPr>
        <w:t> </w:t>
      </w:r>
      <w:r>
        <w:rPr>
          <w:sz w:val="26"/>
        </w:rPr>
        <w:t>ai</w:t>
      </w:r>
      <w:r>
        <w:rPr>
          <w:spacing w:val="-8"/>
          <w:sz w:val="26"/>
        </w:rPr>
        <w:t> </w:t>
      </w:r>
      <w:r>
        <w:rPr>
          <w:sz w:val="26"/>
        </w:rPr>
        <w:t>fini</w:t>
      </w:r>
      <w:r>
        <w:rPr>
          <w:spacing w:val="-9"/>
          <w:sz w:val="26"/>
        </w:rPr>
        <w:t> </w:t>
      </w:r>
      <w:r>
        <w:rPr>
          <w:sz w:val="26"/>
        </w:rPr>
        <w:t>della</w:t>
      </w:r>
      <w:r>
        <w:rPr>
          <w:spacing w:val="-6"/>
          <w:sz w:val="26"/>
        </w:rPr>
        <w:t> </w:t>
      </w:r>
      <w:r>
        <w:rPr>
          <w:sz w:val="26"/>
        </w:rPr>
        <w:t>redazione</w:t>
      </w:r>
      <w:r>
        <w:rPr>
          <w:spacing w:val="-5"/>
          <w:sz w:val="26"/>
        </w:rPr>
        <w:t> </w:t>
      </w:r>
      <w:r>
        <w:rPr>
          <w:sz w:val="26"/>
        </w:rPr>
        <w:t>della</w:t>
      </w:r>
      <w:r>
        <w:rPr>
          <w:spacing w:val="-6"/>
          <w:sz w:val="26"/>
        </w:rPr>
        <w:t> </w:t>
      </w:r>
      <w:r>
        <w:rPr>
          <w:sz w:val="26"/>
        </w:rPr>
        <w:t>segnalazione</w:t>
      </w:r>
      <w:r>
        <w:rPr>
          <w:spacing w:val="-8"/>
          <w:sz w:val="26"/>
        </w:rPr>
        <w:t> </w:t>
      </w:r>
      <w:r>
        <w:rPr>
          <w:sz w:val="26"/>
        </w:rPr>
        <w:t>al</w:t>
      </w:r>
      <w:r>
        <w:rPr>
          <w:spacing w:val="-9"/>
          <w:sz w:val="26"/>
        </w:rPr>
        <w:t> </w:t>
      </w:r>
      <w:r>
        <w:rPr>
          <w:sz w:val="26"/>
        </w:rPr>
        <w:t>MISE,</w:t>
      </w:r>
      <w:r>
        <w:rPr>
          <w:spacing w:val="-5"/>
          <w:sz w:val="26"/>
        </w:rPr>
        <w:t> </w:t>
      </w:r>
      <w:r>
        <w:rPr>
          <w:sz w:val="26"/>
        </w:rPr>
        <w:t>ai</w:t>
      </w:r>
      <w:r>
        <w:rPr>
          <w:spacing w:val="-8"/>
          <w:sz w:val="26"/>
        </w:rPr>
        <w:t> </w:t>
      </w:r>
      <w:r>
        <w:rPr>
          <w:sz w:val="26"/>
        </w:rPr>
        <w:t>sensi dell’art. 27 del Regolamento CE</w:t>
      </w:r>
      <w:r>
        <w:rPr>
          <w:spacing w:val="5"/>
          <w:sz w:val="26"/>
        </w:rPr>
        <w:t> </w:t>
      </w:r>
      <w:r>
        <w:rPr>
          <w:sz w:val="26"/>
        </w:rPr>
        <w:t>765/2008.</w:t>
      </w:r>
    </w:p>
    <w:p>
      <w:pPr>
        <w:pStyle w:val="ListParagraph"/>
        <w:numPr>
          <w:ilvl w:val="0"/>
          <w:numId w:val="3"/>
        </w:numPr>
        <w:tabs>
          <w:tab w:pos="903" w:val="left" w:leader="none"/>
        </w:tabs>
        <w:spacing w:line="240" w:lineRule="auto" w:before="2" w:after="0"/>
        <w:ind w:left="902" w:right="121" w:hanging="360"/>
        <w:jc w:val="both"/>
        <w:rPr>
          <w:sz w:val="26"/>
        </w:rPr>
      </w:pPr>
      <w:r>
        <w:rPr>
          <w:sz w:val="26"/>
        </w:rPr>
        <w:t>In</w:t>
      </w:r>
      <w:r>
        <w:rPr>
          <w:spacing w:val="-5"/>
          <w:sz w:val="26"/>
        </w:rPr>
        <w:t> </w:t>
      </w:r>
      <w:r>
        <w:rPr>
          <w:sz w:val="26"/>
        </w:rPr>
        <w:t>caso</w:t>
      </w:r>
      <w:r>
        <w:rPr>
          <w:spacing w:val="-5"/>
          <w:sz w:val="26"/>
        </w:rPr>
        <w:t> </w:t>
      </w:r>
      <w:r>
        <w:rPr>
          <w:sz w:val="26"/>
        </w:rPr>
        <w:t>di</w:t>
      </w:r>
      <w:r>
        <w:rPr>
          <w:spacing w:val="-8"/>
          <w:sz w:val="26"/>
        </w:rPr>
        <w:t> </w:t>
      </w:r>
      <w:r>
        <w:rPr>
          <w:sz w:val="26"/>
        </w:rPr>
        <w:t>importazioni</w:t>
      </w:r>
      <w:r>
        <w:rPr>
          <w:spacing w:val="-14"/>
          <w:sz w:val="26"/>
        </w:rPr>
        <w:t> </w:t>
      </w:r>
      <w:r>
        <w:rPr>
          <w:sz w:val="26"/>
        </w:rPr>
        <w:t>di</w:t>
      </w:r>
      <w:r>
        <w:rPr>
          <w:spacing w:val="-8"/>
          <w:sz w:val="26"/>
        </w:rPr>
        <w:t> </w:t>
      </w:r>
      <w:r>
        <w:rPr>
          <w:sz w:val="26"/>
        </w:rPr>
        <w:t>dispositivi</w:t>
      </w:r>
      <w:r>
        <w:rPr>
          <w:spacing w:val="-9"/>
          <w:sz w:val="26"/>
        </w:rPr>
        <w:t> </w:t>
      </w:r>
      <w:r>
        <w:rPr>
          <w:sz w:val="26"/>
        </w:rPr>
        <w:t>di</w:t>
      </w:r>
      <w:r>
        <w:rPr>
          <w:spacing w:val="-8"/>
          <w:sz w:val="26"/>
        </w:rPr>
        <w:t> </w:t>
      </w:r>
      <w:r>
        <w:rPr>
          <w:sz w:val="26"/>
        </w:rPr>
        <w:t>protezione</w:t>
      </w:r>
      <w:r>
        <w:rPr>
          <w:spacing w:val="-5"/>
          <w:sz w:val="26"/>
        </w:rPr>
        <w:t> </w:t>
      </w:r>
      <w:r>
        <w:rPr>
          <w:sz w:val="26"/>
        </w:rPr>
        <w:t>individuale</w:t>
      </w:r>
      <w:r>
        <w:rPr>
          <w:spacing w:val="-4"/>
          <w:sz w:val="26"/>
        </w:rPr>
        <w:t> </w:t>
      </w:r>
      <w:r>
        <w:rPr>
          <w:sz w:val="26"/>
        </w:rPr>
        <w:t>marcati</w:t>
      </w:r>
      <w:r>
        <w:rPr>
          <w:spacing w:val="-9"/>
          <w:sz w:val="26"/>
        </w:rPr>
        <w:t> </w:t>
      </w:r>
      <w:r>
        <w:rPr>
          <w:sz w:val="26"/>
        </w:rPr>
        <w:t>CE,</w:t>
      </w:r>
      <w:r>
        <w:rPr>
          <w:spacing w:val="-6"/>
          <w:sz w:val="26"/>
        </w:rPr>
        <w:t> </w:t>
      </w:r>
      <w:r>
        <w:rPr>
          <w:sz w:val="26"/>
        </w:rPr>
        <w:t>nel</w:t>
      </w:r>
      <w:r>
        <w:rPr>
          <w:spacing w:val="-8"/>
          <w:sz w:val="26"/>
        </w:rPr>
        <w:t> </w:t>
      </w:r>
      <w:r>
        <w:rPr>
          <w:sz w:val="26"/>
        </w:rPr>
        <w:t>caso</w:t>
      </w:r>
      <w:r>
        <w:rPr>
          <w:spacing w:val="-5"/>
          <w:sz w:val="26"/>
        </w:rPr>
        <w:t> </w:t>
      </w:r>
      <w:r>
        <w:rPr>
          <w:sz w:val="26"/>
        </w:rPr>
        <w:t>in</w:t>
      </w:r>
      <w:r>
        <w:rPr>
          <w:spacing w:val="-9"/>
          <w:sz w:val="26"/>
        </w:rPr>
        <w:t> </w:t>
      </w:r>
      <w:r>
        <w:rPr>
          <w:sz w:val="26"/>
        </w:rPr>
        <w:t>cui la marcatura sia priva della prescritta documentazione ovvero sia accompagnata da documentazione invalida o falsa, l’Ufficio delle Dogane redige una relazione di servizio, adotta</w:t>
      </w:r>
      <w:r>
        <w:rPr>
          <w:spacing w:val="-6"/>
          <w:sz w:val="26"/>
        </w:rPr>
        <w:t> </w:t>
      </w:r>
      <w:r>
        <w:rPr>
          <w:sz w:val="26"/>
        </w:rPr>
        <w:t>i</w:t>
      </w:r>
      <w:r>
        <w:rPr>
          <w:spacing w:val="-7"/>
          <w:sz w:val="26"/>
        </w:rPr>
        <w:t> </w:t>
      </w:r>
      <w:r>
        <w:rPr>
          <w:sz w:val="26"/>
        </w:rPr>
        <w:t>provvedimenti</w:t>
      </w:r>
      <w:r>
        <w:rPr>
          <w:spacing w:val="-7"/>
          <w:sz w:val="26"/>
        </w:rPr>
        <w:t> </w:t>
      </w:r>
      <w:r>
        <w:rPr>
          <w:sz w:val="26"/>
        </w:rPr>
        <w:t>di</w:t>
      </w:r>
      <w:r>
        <w:rPr>
          <w:spacing w:val="-7"/>
          <w:sz w:val="26"/>
        </w:rPr>
        <w:t> </w:t>
      </w:r>
      <w:r>
        <w:rPr>
          <w:sz w:val="26"/>
        </w:rPr>
        <w:t>competenza</w:t>
      </w:r>
      <w:r>
        <w:rPr>
          <w:spacing w:val="-10"/>
          <w:sz w:val="26"/>
        </w:rPr>
        <w:t> </w:t>
      </w:r>
      <w:r>
        <w:rPr>
          <w:sz w:val="26"/>
        </w:rPr>
        <w:t>e,</w:t>
      </w:r>
      <w:r>
        <w:rPr>
          <w:spacing w:val="-9"/>
          <w:sz w:val="26"/>
        </w:rPr>
        <w:t> </w:t>
      </w:r>
      <w:r>
        <w:rPr>
          <w:sz w:val="26"/>
        </w:rPr>
        <w:t>ove</w:t>
      </w:r>
      <w:r>
        <w:rPr>
          <w:spacing w:val="-3"/>
          <w:sz w:val="26"/>
        </w:rPr>
        <w:t> </w:t>
      </w:r>
      <w:r>
        <w:rPr>
          <w:sz w:val="26"/>
        </w:rPr>
        <w:t>ne</w:t>
      </w:r>
      <w:r>
        <w:rPr>
          <w:spacing w:val="-3"/>
          <w:sz w:val="26"/>
        </w:rPr>
        <w:t> </w:t>
      </w:r>
      <w:r>
        <w:rPr>
          <w:sz w:val="26"/>
        </w:rPr>
        <w:t>ricorrano</w:t>
      </w:r>
      <w:r>
        <w:rPr>
          <w:spacing w:val="-4"/>
          <w:sz w:val="26"/>
        </w:rPr>
        <w:t> </w:t>
      </w:r>
      <w:r>
        <w:rPr>
          <w:sz w:val="26"/>
        </w:rPr>
        <w:t>i</w:t>
      </w:r>
      <w:r>
        <w:rPr>
          <w:spacing w:val="-7"/>
          <w:sz w:val="26"/>
        </w:rPr>
        <w:t> </w:t>
      </w:r>
      <w:r>
        <w:rPr>
          <w:sz w:val="26"/>
        </w:rPr>
        <w:t>presupposti,</w:t>
      </w:r>
      <w:r>
        <w:rPr>
          <w:spacing w:val="-4"/>
          <w:sz w:val="26"/>
        </w:rPr>
        <w:t> </w:t>
      </w:r>
      <w:r>
        <w:rPr>
          <w:sz w:val="26"/>
        </w:rPr>
        <w:t>segnala</w:t>
      </w:r>
      <w:r>
        <w:rPr>
          <w:spacing w:val="-5"/>
          <w:sz w:val="26"/>
        </w:rPr>
        <w:t> </w:t>
      </w:r>
      <w:r>
        <w:rPr>
          <w:sz w:val="26"/>
        </w:rPr>
        <w:t>la</w:t>
      </w:r>
      <w:r>
        <w:rPr>
          <w:spacing w:val="-5"/>
          <w:sz w:val="26"/>
        </w:rPr>
        <w:t> </w:t>
      </w:r>
      <w:r>
        <w:rPr>
          <w:sz w:val="26"/>
        </w:rPr>
        <w:t>notizia di reato all’Autorità</w:t>
      </w:r>
      <w:r>
        <w:rPr>
          <w:spacing w:val="5"/>
          <w:sz w:val="26"/>
        </w:rPr>
        <w:t> </w:t>
      </w:r>
      <w:r>
        <w:rPr>
          <w:sz w:val="26"/>
        </w:rPr>
        <w:t>giudiziaria.</w:t>
      </w:r>
    </w:p>
    <w:p>
      <w:pPr>
        <w:pStyle w:val="BodyText"/>
        <w:rPr>
          <w:sz w:val="28"/>
        </w:rPr>
      </w:pPr>
    </w:p>
    <w:p>
      <w:pPr>
        <w:pStyle w:val="BodyText"/>
        <w:rPr>
          <w:sz w:val="28"/>
        </w:rPr>
      </w:pPr>
    </w:p>
    <w:p>
      <w:pPr>
        <w:spacing w:before="245"/>
        <w:ind w:left="283" w:right="220" w:firstLine="0"/>
        <w:jc w:val="center"/>
        <w:rPr>
          <w:b/>
          <w:sz w:val="26"/>
        </w:rPr>
      </w:pPr>
      <w:r>
        <w:rPr>
          <w:b/>
          <w:sz w:val="26"/>
        </w:rPr>
        <w:t>A</w:t>
      </w:r>
      <w:r>
        <w:rPr>
          <w:b/>
          <w:sz w:val="21"/>
        </w:rPr>
        <w:t>RTICOLO </w:t>
      </w:r>
      <w:r>
        <w:rPr>
          <w:b/>
          <w:sz w:val="26"/>
        </w:rPr>
        <w:t>4</w:t>
      </w:r>
    </w:p>
    <w:p>
      <w:pPr>
        <w:pStyle w:val="BodyText"/>
        <w:ind w:left="268" w:right="222"/>
        <w:jc w:val="center"/>
      </w:pPr>
      <w:r>
        <w:rPr/>
        <w:t>(poteri dell’Autorità di vigilanza)</w:t>
      </w:r>
    </w:p>
    <w:p>
      <w:pPr>
        <w:pStyle w:val="BodyText"/>
      </w:pPr>
    </w:p>
    <w:p>
      <w:pPr>
        <w:pStyle w:val="BodyText"/>
        <w:spacing w:before="1"/>
        <w:ind w:left="902" w:right="121" w:hanging="360"/>
        <w:jc w:val="both"/>
      </w:pPr>
      <w:r>
        <w:rPr/>
        <w:t>1. In qualsiasi fase del procedimento, su richiesta del MISE, l’Ufficio delle Dogane trasmette senza indugio tutta la documentazione in proprio possesso inerente alle importazioni di cui agli articoli 1, 2 e 3.</w:t>
      </w:r>
    </w:p>
    <w:p>
      <w:pPr>
        <w:pStyle w:val="BodyText"/>
        <w:rPr>
          <w:sz w:val="28"/>
        </w:rPr>
      </w:pPr>
    </w:p>
    <w:p>
      <w:pPr>
        <w:pStyle w:val="BodyText"/>
        <w:spacing w:before="1"/>
        <w:rPr>
          <w:sz w:val="24"/>
        </w:rPr>
      </w:pPr>
    </w:p>
    <w:p>
      <w:pPr>
        <w:pStyle w:val="BodyText"/>
        <w:ind w:left="277" w:right="222"/>
        <w:jc w:val="center"/>
      </w:pPr>
      <w:r>
        <w:rPr/>
        <w:t>°°°°°°°°°°°°°°°</w:t>
      </w:r>
    </w:p>
    <w:p>
      <w:pPr>
        <w:pStyle w:val="BodyText"/>
        <w:rPr>
          <w:sz w:val="28"/>
        </w:rPr>
      </w:pPr>
    </w:p>
    <w:p>
      <w:pPr>
        <w:pStyle w:val="BodyText"/>
        <w:spacing w:before="7"/>
        <w:rPr>
          <w:sz w:val="23"/>
        </w:rPr>
      </w:pPr>
    </w:p>
    <w:p>
      <w:pPr>
        <w:pStyle w:val="BodyText"/>
        <w:ind w:left="182"/>
      </w:pPr>
      <w:r>
        <w:rPr/>
        <w:t>Del provvedimento si darà pubblicazione sul sito di ADM e del MISE.</w:t>
      </w:r>
    </w:p>
    <w:p>
      <w:pPr>
        <w:pStyle w:val="BodyText"/>
        <w:rPr>
          <w:sz w:val="28"/>
        </w:rPr>
      </w:pPr>
    </w:p>
    <w:p>
      <w:pPr>
        <w:pStyle w:val="BodyText"/>
        <w:rPr>
          <w:sz w:val="28"/>
        </w:rPr>
      </w:pPr>
    </w:p>
    <w:p>
      <w:pPr>
        <w:pStyle w:val="BodyText"/>
        <w:spacing w:before="10"/>
        <w:rPr>
          <w:sz w:val="31"/>
        </w:rPr>
      </w:pPr>
    </w:p>
    <w:p>
      <w:pPr>
        <w:spacing w:line="211" w:lineRule="auto" w:before="0"/>
        <w:ind w:left="100" w:right="5661" w:firstLine="0"/>
        <w:jc w:val="left"/>
        <w:rPr>
          <w:rFonts w:ascii="Lucida Sans"/>
          <w:sz w:val="16"/>
        </w:rPr>
      </w:pPr>
      <w:r>
        <w:rPr/>
        <w:drawing>
          <wp:anchor distT="0" distB="0" distL="0" distR="0" allowOverlap="1" layoutInCell="1" locked="0" behindDoc="0" simplePos="0" relativeHeight="251658240">
            <wp:simplePos x="0" y="0"/>
            <wp:positionH relativeFrom="page">
              <wp:posOffset>4701934</wp:posOffset>
            </wp:positionH>
            <wp:positionV relativeFrom="paragraph">
              <wp:posOffset>-41300</wp:posOffset>
            </wp:positionV>
            <wp:extent cx="1714383" cy="540062"/>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714383" cy="540062"/>
                    </a:xfrm>
                    <a:prstGeom prst="rect">
                      <a:avLst/>
                    </a:prstGeom>
                  </pic:spPr>
                </pic:pic>
              </a:graphicData>
            </a:graphic>
          </wp:anchor>
        </w:drawing>
      </w:r>
      <w:r>
        <w:rPr>
          <w:rFonts w:ascii="Lucida Sans"/>
          <w:w w:val="95"/>
          <w:sz w:val="16"/>
        </w:rPr>
        <w:t>Firmato digitalmente da:Loredana Gulino </w:t>
      </w:r>
      <w:r>
        <w:rPr>
          <w:rFonts w:ascii="Lucida Sans"/>
          <w:sz w:val="16"/>
        </w:rPr>
        <w:t>Organizzazione:MISE/80230390587 Data:08/10/2020 13:18:14</w:t>
      </w:r>
    </w:p>
    <w:p>
      <w:pPr>
        <w:spacing w:after="0" w:line="211" w:lineRule="auto"/>
        <w:jc w:val="left"/>
        <w:rPr>
          <w:rFonts w:ascii="Lucida Sans"/>
          <w:sz w:val="16"/>
        </w:rPr>
        <w:sectPr>
          <w:pgSz w:w="11910" w:h="16840"/>
          <w:pgMar w:header="697" w:footer="727" w:top="2240" w:bottom="920" w:left="960" w:right="1000"/>
        </w:sect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18"/>
        </w:rPr>
      </w:pPr>
    </w:p>
    <w:p>
      <w:pPr>
        <w:pStyle w:val="Heading1"/>
      </w:pPr>
      <w:r>
        <w:rPr/>
        <w:t>ALLEGATO I</w:t>
      </w:r>
    </w:p>
    <w:p>
      <w:pPr>
        <w:pStyle w:val="BodyText"/>
        <w:spacing w:before="1"/>
        <w:ind w:left="277" w:right="222"/>
        <w:jc w:val="center"/>
      </w:pPr>
      <w:r>
        <w:rPr/>
        <w:t>(Dispositivi di protezione individuale)</w:t>
      </w:r>
    </w:p>
    <w:p>
      <w:pPr>
        <w:pStyle w:val="BodyText"/>
        <w:spacing w:before="2"/>
        <w:rPr>
          <w:sz w:val="17"/>
        </w:rPr>
      </w:pPr>
    </w:p>
    <w:p>
      <w:pPr>
        <w:pStyle w:val="BodyText"/>
        <w:spacing w:before="99"/>
        <w:ind w:left="182"/>
      </w:pPr>
      <w:r>
        <w:rPr>
          <w:u w:val="single"/>
        </w:rPr>
        <w:t>Categoria di rischio dei DPI</w:t>
      </w:r>
    </w:p>
    <w:p>
      <w:pPr>
        <w:pStyle w:val="BodyText"/>
        <w:spacing w:before="3"/>
        <w:rPr>
          <w:sz w:val="17"/>
        </w:rPr>
      </w:pPr>
    </w:p>
    <w:p>
      <w:pPr>
        <w:pStyle w:val="BodyText"/>
        <w:spacing w:before="99"/>
        <w:ind w:left="182" w:right="235"/>
      </w:pPr>
      <w:r>
        <w:rPr/>
        <w:t>I DPI sono classificati secondo tre categorie di rischio descritte nell’allegato I del Regolamento (UE) 2016/425:</w:t>
      </w:r>
    </w:p>
    <w:p>
      <w:pPr>
        <w:pStyle w:val="BodyText"/>
        <w:spacing w:before="8"/>
        <w:rPr>
          <w:sz w:val="25"/>
        </w:rPr>
      </w:pPr>
    </w:p>
    <w:p>
      <w:pPr>
        <w:pStyle w:val="ListParagraph"/>
        <w:numPr>
          <w:ilvl w:val="0"/>
          <w:numId w:val="4"/>
        </w:numPr>
        <w:tabs>
          <w:tab w:pos="902" w:val="left" w:leader="none"/>
          <w:tab w:pos="903" w:val="left" w:leader="none"/>
        </w:tabs>
        <w:spacing w:line="313" w:lineRule="exact" w:before="0" w:after="0"/>
        <w:ind w:left="902" w:right="0" w:hanging="361"/>
        <w:jc w:val="left"/>
        <w:rPr>
          <w:sz w:val="26"/>
        </w:rPr>
      </w:pPr>
      <w:r>
        <w:rPr>
          <w:b/>
          <w:i/>
          <w:sz w:val="27"/>
        </w:rPr>
        <w:t>categoria I</w:t>
      </w:r>
      <w:r>
        <w:rPr>
          <w:sz w:val="26"/>
        </w:rPr>
        <w:t>, che comprende esclusivamente i seguenti rischi</w:t>
      </w:r>
      <w:r>
        <w:rPr>
          <w:spacing w:val="-10"/>
          <w:sz w:val="26"/>
        </w:rPr>
        <w:t> </w:t>
      </w:r>
      <w:r>
        <w:rPr>
          <w:sz w:val="26"/>
        </w:rPr>
        <w:t>minimi:</w:t>
      </w:r>
    </w:p>
    <w:p>
      <w:pPr>
        <w:pStyle w:val="ListParagraph"/>
        <w:numPr>
          <w:ilvl w:val="1"/>
          <w:numId w:val="4"/>
        </w:numPr>
        <w:tabs>
          <w:tab w:pos="1247" w:val="left" w:leader="none"/>
          <w:tab w:pos="1248" w:val="left" w:leader="none"/>
        </w:tabs>
        <w:spacing w:line="310" w:lineRule="exact" w:before="0" w:after="0"/>
        <w:ind w:left="1247" w:right="0" w:hanging="361"/>
        <w:jc w:val="left"/>
        <w:rPr>
          <w:sz w:val="26"/>
        </w:rPr>
      </w:pPr>
      <w:r>
        <w:rPr>
          <w:sz w:val="26"/>
        </w:rPr>
        <w:t>lesioni meccaniche</w:t>
      </w:r>
      <w:r>
        <w:rPr>
          <w:spacing w:val="-2"/>
          <w:sz w:val="26"/>
        </w:rPr>
        <w:t> </w:t>
      </w:r>
      <w:r>
        <w:rPr>
          <w:sz w:val="26"/>
        </w:rPr>
        <w:t>superficiali;</w:t>
      </w:r>
    </w:p>
    <w:p>
      <w:pPr>
        <w:pStyle w:val="ListParagraph"/>
        <w:numPr>
          <w:ilvl w:val="1"/>
          <w:numId w:val="4"/>
        </w:numPr>
        <w:tabs>
          <w:tab w:pos="1247" w:val="left" w:leader="none"/>
          <w:tab w:pos="1248" w:val="left" w:leader="none"/>
        </w:tabs>
        <w:spacing w:line="240" w:lineRule="auto" w:before="1" w:after="0"/>
        <w:ind w:left="1247" w:right="0" w:hanging="361"/>
        <w:jc w:val="left"/>
        <w:rPr>
          <w:sz w:val="26"/>
        </w:rPr>
      </w:pPr>
      <w:r>
        <w:rPr>
          <w:sz w:val="26"/>
        </w:rPr>
        <w:t>contatto</w:t>
      </w:r>
      <w:r>
        <w:rPr>
          <w:spacing w:val="-9"/>
          <w:sz w:val="26"/>
        </w:rPr>
        <w:t> </w:t>
      </w:r>
      <w:r>
        <w:rPr>
          <w:sz w:val="26"/>
        </w:rPr>
        <w:t>con</w:t>
      </w:r>
      <w:r>
        <w:rPr>
          <w:spacing w:val="-8"/>
          <w:sz w:val="26"/>
        </w:rPr>
        <w:t> </w:t>
      </w:r>
      <w:r>
        <w:rPr>
          <w:sz w:val="26"/>
        </w:rPr>
        <w:t>prodotti</w:t>
      </w:r>
      <w:r>
        <w:rPr>
          <w:spacing w:val="-8"/>
          <w:sz w:val="26"/>
        </w:rPr>
        <w:t> </w:t>
      </w:r>
      <w:r>
        <w:rPr>
          <w:sz w:val="26"/>
        </w:rPr>
        <w:t>per</w:t>
      </w:r>
      <w:r>
        <w:rPr>
          <w:spacing w:val="-5"/>
          <w:sz w:val="26"/>
        </w:rPr>
        <w:t> </w:t>
      </w:r>
      <w:r>
        <w:rPr>
          <w:sz w:val="26"/>
        </w:rPr>
        <w:t>la</w:t>
      </w:r>
      <w:r>
        <w:rPr>
          <w:spacing w:val="-10"/>
          <w:sz w:val="26"/>
        </w:rPr>
        <w:t> </w:t>
      </w:r>
      <w:r>
        <w:rPr>
          <w:sz w:val="26"/>
        </w:rPr>
        <w:t>pulizia</w:t>
      </w:r>
      <w:r>
        <w:rPr>
          <w:spacing w:val="-6"/>
          <w:sz w:val="26"/>
        </w:rPr>
        <w:t> </w:t>
      </w:r>
      <w:r>
        <w:rPr>
          <w:sz w:val="26"/>
        </w:rPr>
        <w:t>poco</w:t>
      </w:r>
      <w:r>
        <w:rPr>
          <w:spacing w:val="-8"/>
          <w:sz w:val="26"/>
        </w:rPr>
        <w:t> </w:t>
      </w:r>
      <w:r>
        <w:rPr>
          <w:sz w:val="26"/>
        </w:rPr>
        <w:t>aggressivi</w:t>
      </w:r>
      <w:r>
        <w:rPr>
          <w:spacing w:val="-7"/>
          <w:sz w:val="26"/>
        </w:rPr>
        <w:t> </w:t>
      </w:r>
      <w:r>
        <w:rPr>
          <w:sz w:val="26"/>
        </w:rPr>
        <w:t>o</w:t>
      </w:r>
      <w:r>
        <w:rPr>
          <w:spacing w:val="-4"/>
          <w:sz w:val="26"/>
        </w:rPr>
        <w:t> </w:t>
      </w:r>
      <w:r>
        <w:rPr>
          <w:sz w:val="26"/>
        </w:rPr>
        <w:t>contatto</w:t>
      </w:r>
      <w:r>
        <w:rPr>
          <w:spacing w:val="-8"/>
          <w:sz w:val="26"/>
        </w:rPr>
        <w:t> </w:t>
      </w:r>
      <w:r>
        <w:rPr>
          <w:sz w:val="26"/>
        </w:rPr>
        <w:t>prolungato</w:t>
      </w:r>
      <w:r>
        <w:rPr>
          <w:spacing w:val="-9"/>
          <w:sz w:val="26"/>
        </w:rPr>
        <w:t> </w:t>
      </w:r>
      <w:r>
        <w:rPr>
          <w:sz w:val="26"/>
        </w:rPr>
        <w:t>con</w:t>
      </w:r>
      <w:r>
        <w:rPr>
          <w:spacing w:val="-3"/>
          <w:sz w:val="26"/>
        </w:rPr>
        <w:t> </w:t>
      </w:r>
      <w:r>
        <w:rPr>
          <w:sz w:val="26"/>
        </w:rPr>
        <w:t>l’acqua;</w:t>
      </w:r>
    </w:p>
    <w:p>
      <w:pPr>
        <w:pStyle w:val="ListParagraph"/>
        <w:numPr>
          <w:ilvl w:val="1"/>
          <w:numId w:val="4"/>
        </w:numPr>
        <w:tabs>
          <w:tab w:pos="1247" w:val="left" w:leader="none"/>
          <w:tab w:pos="1248" w:val="left" w:leader="none"/>
        </w:tabs>
        <w:spacing w:line="240" w:lineRule="auto" w:before="1" w:after="0"/>
        <w:ind w:left="1247" w:right="0" w:hanging="361"/>
        <w:jc w:val="left"/>
        <w:rPr>
          <w:sz w:val="26"/>
        </w:rPr>
      </w:pPr>
      <w:r>
        <w:rPr>
          <w:sz w:val="26"/>
        </w:rPr>
        <w:t>contatto con superfici calde che non superino i</w:t>
      </w:r>
      <w:r>
        <w:rPr>
          <w:spacing w:val="-9"/>
          <w:sz w:val="26"/>
        </w:rPr>
        <w:t> </w:t>
      </w:r>
      <w:r>
        <w:rPr>
          <w:sz w:val="26"/>
        </w:rPr>
        <w:t>50°C;</w:t>
      </w:r>
    </w:p>
    <w:p>
      <w:pPr>
        <w:pStyle w:val="ListParagraph"/>
        <w:numPr>
          <w:ilvl w:val="1"/>
          <w:numId w:val="4"/>
        </w:numPr>
        <w:tabs>
          <w:tab w:pos="1247" w:val="left" w:leader="none"/>
          <w:tab w:pos="1248" w:val="left" w:leader="none"/>
        </w:tabs>
        <w:spacing w:line="240" w:lineRule="auto" w:before="1" w:after="0"/>
        <w:ind w:left="1247" w:right="125" w:hanging="360"/>
        <w:jc w:val="left"/>
        <w:rPr>
          <w:sz w:val="26"/>
        </w:rPr>
      </w:pPr>
      <w:r>
        <w:rPr>
          <w:sz w:val="26"/>
        </w:rPr>
        <w:t>lesioni oculari dovute all’esposizione alla luce del sole (diverse dalle lesioni dovute all’osservazione del</w:t>
      </w:r>
      <w:r>
        <w:rPr>
          <w:spacing w:val="3"/>
          <w:sz w:val="26"/>
        </w:rPr>
        <w:t> </w:t>
      </w:r>
      <w:r>
        <w:rPr>
          <w:sz w:val="26"/>
        </w:rPr>
        <w:t>sole);</w:t>
      </w:r>
    </w:p>
    <w:p>
      <w:pPr>
        <w:pStyle w:val="ListParagraph"/>
        <w:numPr>
          <w:ilvl w:val="1"/>
          <w:numId w:val="4"/>
        </w:numPr>
        <w:tabs>
          <w:tab w:pos="1247" w:val="left" w:leader="none"/>
          <w:tab w:pos="1248" w:val="left" w:leader="none"/>
        </w:tabs>
        <w:spacing w:line="308" w:lineRule="exact" w:before="0" w:after="0"/>
        <w:ind w:left="1247" w:right="0" w:hanging="361"/>
        <w:jc w:val="left"/>
        <w:rPr>
          <w:sz w:val="26"/>
        </w:rPr>
      </w:pPr>
      <w:r>
        <w:rPr>
          <w:sz w:val="26"/>
        </w:rPr>
        <w:t>condizioni atmosferiche di natura non</w:t>
      </w:r>
      <w:r>
        <w:rPr>
          <w:spacing w:val="-2"/>
          <w:sz w:val="26"/>
        </w:rPr>
        <w:t> </w:t>
      </w:r>
      <w:r>
        <w:rPr>
          <w:sz w:val="26"/>
        </w:rPr>
        <w:t>estrema.</w:t>
      </w:r>
    </w:p>
    <w:p>
      <w:pPr>
        <w:pStyle w:val="BodyText"/>
        <w:spacing w:before="1"/>
      </w:pPr>
    </w:p>
    <w:p>
      <w:pPr>
        <w:pStyle w:val="ListParagraph"/>
        <w:numPr>
          <w:ilvl w:val="0"/>
          <w:numId w:val="4"/>
        </w:numPr>
        <w:tabs>
          <w:tab w:pos="902" w:val="left" w:leader="none"/>
          <w:tab w:pos="903" w:val="left" w:leader="none"/>
        </w:tabs>
        <w:spacing w:line="240" w:lineRule="auto" w:before="0" w:after="0"/>
        <w:ind w:left="902" w:right="0" w:hanging="361"/>
        <w:jc w:val="left"/>
        <w:rPr>
          <w:sz w:val="26"/>
        </w:rPr>
      </w:pPr>
      <w:r>
        <w:rPr>
          <w:b/>
          <w:i/>
          <w:sz w:val="27"/>
        </w:rPr>
        <w:t>categoria II</w:t>
      </w:r>
      <w:r>
        <w:rPr>
          <w:sz w:val="26"/>
        </w:rPr>
        <w:t>, che comprende i rischi diversi da quelli elencati nelle categorie I e</w:t>
      </w:r>
      <w:r>
        <w:rPr>
          <w:spacing w:val="-37"/>
          <w:sz w:val="26"/>
        </w:rPr>
        <w:t> </w:t>
      </w:r>
      <w:r>
        <w:rPr>
          <w:sz w:val="26"/>
        </w:rPr>
        <w:t>III;</w:t>
      </w:r>
    </w:p>
    <w:p>
      <w:pPr>
        <w:pStyle w:val="BodyText"/>
        <w:spacing w:before="1"/>
      </w:pPr>
    </w:p>
    <w:p>
      <w:pPr>
        <w:pStyle w:val="ListParagraph"/>
        <w:numPr>
          <w:ilvl w:val="0"/>
          <w:numId w:val="4"/>
        </w:numPr>
        <w:tabs>
          <w:tab w:pos="902" w:val="left" w:leader="none"/>
          <w:tab w:pos="903" w:val="left" w:leader="none"/>
        </w:tabs>
        <w:spacing w:line="237" w:lineRule="auto" w:before="0" w:after="0"/>
        <w:ind w:left="902" w:right="118" w:hanging="360"/>
        <w:jc w:val="left"/>
        <w:rPr>
          <w:sz w:val="26"/>
        </w:rPr>
      </w:pPr>
      <w:r>
        <w:rPr>
          <w:b/>
          <w:i/>
          <w:sz w:val="27"/>
        </w:rPr>
        <w:t>categoria III, </w:t>
      </w:r>
      <w:r>
        <w:rPr>
          <w:sz w:val="26"/>
        </w:rPr>
        <w:t>che comprende esclusivamente i rischi che possono causare conseguenze molto gravi quali morte o danni alla salute</w:t>
      </w:r>
      <w:r>
        <w:rPr>
          <w:spacing w:val="8"/>
          <w:sz w:val="26"/>
        </w:rPr>
        <w:t> </w:t>
      </w:r>
      <w:r>
        <w:rPr>
          <w:sz w:val="26"/>
        </w:rPr>
        <w:t>irreversibili</w:t>
      </w:r>
    </w:p>
    <w:p>
      <w:pPr>
        <w:spacing w:after="0" w:line="237" w:lineRule="auto"/>
        <w:jc w:val="left"/>
        <w:rPr>
          <w:sz w:val="26"/>
        </w:rPr>
        <w:sectPr>
          <w:pgSz w:w="11910" w:h="16840"/>
          <w:pgMar w:header="697" w:footer="727" w:top="2240" w:bottom="920" w:left="96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BodyText"/>
        <w:spacing w:before="99"/>
        <w:ind w:left="182"/>
      </w:pPr>
      <w:r>
        <w:rPr>
          <w:u w:val="single"/>
        </w:rPr>
        <w:t>Procedure di valutazione della conformità</w:t>
      </w:r>
    </w:p>
    <w:p>
      <w:pPr>
        <w:pStyle w:val="BodyText"/>
        <w:spacing w:before="3"/>
        <w:rPr>
          <w:sz w:val="17"/>
        </w:rPr>
      </w:pPr>
    </w:p>
    <w:p>
      <w:pPr>
        <w:pStyle w:val="BodyText"/>
        <w:spacing w:before="99"/>
        <w:ind w:left="182"/>
      </w:pPr>
      <w:r>
        <w:rPr/>
        <w:t>Le procedure di valutazione della conformità sono differenti in relazione alle categorie di rischio dei DPI:</w:t>
      </w:r>
    </w:p>
    <w:p>
      <w:pPr>
        <w:pStyle w:val="BodyText"/>
        <w:spacing w:before="11"/>
        <w:rPr>
          <w:sz w:val="25"/>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6"/>
        <w:gridCol w:w="3211"/>
        <w:gridCol w:w="3211"/>
      </w:tblGrid>
      <w:tr>
        <w:trPr>
          <w:trHeight w:val="412" w:hRule="atLeast"/>
        </w:trPr>
        <w:tc>
          <w:tcPr>
            <w:tcW w:w="3206" w:type="dxa"/>
          </w:tcPr>
          <w:p>
            <w:pPr>
              <w:pStyle w:val="TableParagraph"/>
              <w:spacing w:before="1"/>
              <w:ind w:left="140" w:right="133"/>
              <w:rPr>
                <w:b/>
                <w:sz w:val="26"/>
              </w:rPr>
            </w:pPr>
            <w:r>
              <w:rPr>
                <w:b/>
                <w:sz w:val="26"/>
              </w:rPr>
              <w:t>DPI Categoria I</w:t>
            </w:r>
          </w:p>
        </w:tc>
        <w:tc>
          <w:tcPr>
            <w:tcW w:w="3211" w:type="dxa"/>
          </w:tcPr>
          <w:p>
            <w:pPr>
              <w:pStyle w:val="TableParagraph"/>
              <w:spacing w:before="1"/>
              <w:ind w:left="115" w:right="108"/>
              <w:rPr>
                <w:b/>
                <w:sz w:val="26"/>
              </w:rPr>
            </w:pPr>
            <w:r>
              <w:rPr>
                <w:b/>
                <w:sz w:val="26"/>
              </w:rPr>
              <w:t>DPI Categoria II</w:t>
            </w:r>
          </w:p>
        </w:tc>
        <w:tc>
          <w:tcPr>
            <w:tcW w:w="3211" w:type="dxa"/>
          </w:tcPr>
          <w:p>
            <w:pPr>
              <w:pStyle w:val="TableParagraph"/>
              <w:spacing w:before="1"/>
              <w:ind w:left="116" w:right="108"/>
              <w:rPr>
                <w:b/>
                <w:sz w:val="26"/>
              </w:rPr>
            </w:pPr>
            <w:r>
              <w:rPr>
                <w:b/>
                <w:sz w:val="26"/>
              </w:rPr>
              <w:t>DPI Categoria III</w:t>
            </w:r>
          </w:p>
        </w:tc>
      </w:tr>
      <w:tr>
        <w:trPr>
          <w:trHeight w:val="294" w:hRule="atLeast"/>
        </w:trPr>
        <w:tc>
          <w:tcPr>
            <w:tcW w:w="3206" w:type="dxa"/>
            <w:tcBorders>
              <w:bottom w:val="nil"/>
            </w:tcBorders>
          </w:tcPr>
          <w:p>
            <w:pPr>
              <w:pStyle w:val="TableParagraph"/>
              <w:spacing w:line="273" w:lineRule="exact" w:before="1"/>
              <w:ind w:left="140" w:right="128"/>
              <w:rPr>
                <w:sz w:val="26"/>
              </w:rPr>
            </w:pPr>
            <w:r>
              <w:rPr>
                <w:sz w:val="26"/>
              </w:rPr>
              <w:t>Modulo A</w:t>
            </w:r>
          </w:p>
        </w:tc>
        <w:tc>
          <w:tcPr>
            <w:tcW w:w="3211" w:type="dxa"/>
            <w:tcBorders>
              <w:bottom w:val="nil"/>
            </w:tcBorders>
          </w:tcPr>
          <w:p>
            <w:pPr>
              <w:pStyle w:val="TableParagraph"/>
              <w:spacing w:line="273" w:lineRule="exact" w:before="1"/>
              <w:ind w:left="119" w:right="108"/>
              <w:rPr>
                <w:sz w:val="26"/>
              </w:rPr>
            </w:pPr>
            <w:r>
              <w:rPr>
                <w:sz w:val="26"/>
              </w:rPr>
              <w:t>Modulo B</w:t>
            </w:r>
          </w:p>
        </w:tc>
        <w:tc>
          <w:tcPr>
            <w:tcW w:w="3211" w:type="dxa"/>
            <w:tcBorders>
              <w:bottom w:val="nil"/>
            </w:tcBorders>
          </w:tcPr>
          <w:p>
            <w:pPr>
              <w:pStyle w:val="TableParagraph"/>
              <w:spacing w:line="273" w:lineRule="exact" w:before="1"/>
              <w:ind w:left="119" w:right="108"/>
              <w:rPr>
                <w:sz w:val="26"/>
              </w:rPr>
            </w:pPr>
            <w:r>
              <w:rPr>
                <w:sz w:val="26"/>
              </w:rPr>
              <w:t>Modulo B</w:t>
            </w:r>
          </w:p>
        </w:tc>
      </w:tr>
      <w:tr>
        <w:trPr>
          <w:trHeight w:val="292" w:hRule="atLeast"/>
        </w:trPr>
        <w:tc>
          <w:tcPr>
            <w:tcW w:w="3206" w:type="dxa"/>
            <w:tcBorders>
              <w:top w:val="nil"/>
              <w:bottom w:val="nil"/>
            </w:tcBorders>
          </w:tcPr>
          <w:p>
            <w:pPr>
              <w:pStyle w:val="TableParagraph"/>
              <w:spacing w:line="273" w:lineRule="exact"/>
              <w:ind w:left="140" w:right="125"/>
              <w:rPr>
                <w:sz w:val="26"/>
              </w:rPr>
            </w:pPr>
            <w:r>
              <w:rPr>
                <w:sz w:val="26"/>
              </w:rPr>
              <w:t>Controllo interno alla</w:t>
            </w:r>
          </w:p>
        </w:tc>
        <w:tc>
          <w:tcPr>
            <w:tcW w:w="3211" w:type="dxa"/>
            <w:tcBorders>
              <w:top w:val="nil"/>
              <w:bottom w:val="nil"/>
            </w:tcBorders>
          </w:tcPr>
          <w:p>
            <w:pPr>
              <w:pStyle w:val="TableParagraph"/>
              <w:spacing w:line="273" w:lineRule="exact"/>
              <w:ind w:left="125" w:right="108"/>
              <w:rPr>
                <w:sz w:val="26"/>
              </w:rPr>
            </w:pPr>
            <w:r>
              <w:rPr>
                <w:sz w:val="26"/>
              </w:rPr>
              <w:t>Esame UE del tipo</w:t>
            </w:r>
          </w:p>
        </w:tc>
        <w:tc>
          <w:tcPr>
            <w:tcW w:w="3211" w:type="dxa"/>
            <w:tcBorders>
              <w:top w:val="nil"/>
              <w:bottom w:val="nil"/>
            </w:tcBorders>
          </w:tcPr>
          <w:p>
            <w:pPr>
              <w:pStyle w:val="TableParagraph"/>
              <w:spacing w:line="273" w:lineRule="exact"/>
              <w:ind w:left="125" w:right="107"/>
              <w:rPr>
                <w:sz w:val="26"/>
              </w:rPr>
            </w:pPr>
            <w:r>
              <w:rPr>
                <w:sz w:val="26"/>
              </w:rPr>
              <w:t>Esame UE del tipo</w:t>
            </w:r>
          </w:p>
        </w:tc>
      </w:tr>
      <w:tr>
        <w:trPr>
          <w:trHeight w:val="292" w:hRule="atLeast"/>
        </w:trPr>
        <w:tc>
          <w:tcPr>
            <w:tcW w:w="3206" w:type="dxa"/>
            <w:tcBorders>
              <w:top w:val="nil"/>
              <w:bottom w:val="nil"/>
            </w:tcBorders>
          </w:tcPr>
          <w:p>
            <w:pPr>
              <w:pStyle w:val="TableParagraph"/>
              <w:spacing w:line="273" w:lineRule="exact"/>
              <w:ind w:left="140" w:right="128"/>
              <w:rPr>
                <w:sz w:val="26"/>
              </w:rPr>
            </w:pPr>
            <w:r>
              <w:rPr>
                <w:sz w:val="26"/>
              </w:rPr>
              <w:t>produzione</w:t>
            </w:r>
          </w:p>
        </w:tc>
        <w:tc>
          <w:tcPr>
            <w:tcW w:w="3211" w:type="dxa"/>
            <w:tcBorders>
              <w:top w:val="nil"/>
              <w:bottom w:val="nil"/>
            </w:tcBorders>
          </w:tcPr>
          <w:p>
            <w:pPr>
              <w:pStyle w:val="TableParagraph"/>
              <w:spacing w:line="273" w:lineRule="exact"/>
              <w:ind w:left="120" w:right="108"/>
              <w:rPr>
                <w:sz w:val="26"/>
              </w:rPr>
            </w:pPr>
            <w:r>
              <w:rPr>
                <w:sz w:val="26"/>
              </w:rPr>
              <w:t>(Allegato V del Regolamento</w:t>
            </w:r>
          </w:p>
        </w:tc>
        <w:tc>
          <w:tcPr>
            <w:tcW w:w="3211" w:type="dxa"/>
            <w:tcBorders>
              <w:top w:val="nil"/>
              <w:bottom w:val="nil"/>
            </w:tcBorders>
          </w:tcPr>
          <w:p>
            <w:pPr>
              <w:pStyle w:val="TableParagraph"/>
              <w:spacing w:line="273" w:lineRule="exact"/>
              <w:ind w:left="121" w:right="108"/>
              <w:rPr>
                <w:sz w:val="26"/>
              </w:rPr>
            </w:pPr>
            <w:r>
              <w:rPr>
                <w:sz w:val="26"/>
              </w:rPr>
              <w:t>(Allegato V del Regolamento</w:t>
            </w:r>
          </w:p>
        </w:tc>
      </w:tr>
      <w:tr>
        <w:trPr>
          <w:trHeight w:val="292" w:hRule="atLeast"/>
        </w:trPr>
        <w:tc>
          <w:tcPr>
            <w:tcW w:w="3206" w:type="dxa"/>
            <w:tcBorders>
              <w:top w:val="nil"/>
              <w:bottom w:val="nil"/>
            </w:tcBorders>
          </w:tcPr>
          <w:p>
            <w:pPr>
              <w:pStyle w:val="TableParagraph"/>
              <w:spacing w:line="273" w:lineRule="exact"/>
              <w:ind w:left="140" w:right="124"/>
              <w:rPr>
                <w:sz w:val="26"/>
              </w:rPr>
            </w:pPr>
            <w:r>
              <w:rPr>
                <w:sz w:val="26"/>
              </w:rPr>
              <w:t>(Allegato IV del</w:t>
            </w:r>
          </w:p>
        </w:tc>
        <w:tc>
          <w:tcPr>
            <w:tcW w:w="3211" w:type="dxa"/>
            <w:tcBorders>
              <w:top w:val="nil"/>
              <w:bottom w:val="nil"/>
            </w:tcBorders>
          </w:tcPr>
          <w:p>
            <w:pPr>
              <w:pStyle w:val="TableParagraph"/>
              <w:spacing w:line="273" w:lineRule="exact"/>
              <w:ind w:left="117" w:right="108"/>
              <w:rPr>
                <w:sz w:val="26"/>
              </w:rPr>
            </w:pPr>
            <w:r>
              <w:rPr>
                <w:sz w:val="26"/>
              </w:rPr>
              <w:t>UE 2016/425)</w:t>
            </w:r>
          </w:p>
        </w:tc>
        <w:tc>
          <w:tcPr>
            <w:tcW w:w="3211" w:type="dxa"/>
            <w:tcBorders>
              <w:top w:val="nil"/>
              <w:bottom w:val="nil"/>
            </w:tcBorders>
          </w:tcPr>
          <w:p>
            <w:pPr>
              <w:pStyle w:val="TableParagraph"/>
              <w:spacing w:line="273" w:lineRule="exact"/>
              <w:ind w:left="117" w:right="108"/>
              <w:rPr>
                <w:sz w:val="26"/>
              </w:rPr>
            </w:pPr>
            <w:r>
              <w:rPr>
                <w:sz w:val="26"/>
              </w:rPr>
              <w:t>UE 2016/425)</w:t>
            </w:r>
          </w:p>
        </w:tc>
      </w:tr>
      <w:tr>
        <w:trPr>
          <w:trHeight w:val="292" w:hRule="atLeast"/>
        </w:trPr>
        <w:tc>
          <w:tcPr>
            <w:tcW w:w="3206" w:type="dxa"/>
            <w:tcBorders>
              <w:top w:val="nil"/>
              <w:bottom w:val="nil"/>
            </w:tcBorders>
          </w:tcPr>
          <w:p>
            <w:pPr>
              <w:pStyle w:val="TableParagraph"/>
              <w:spacing w:line="273" w:lineRule="exact"/>
              <w:ind w:left="140" w:right="137"/>
              <w:rPr>
                <w:sz w:val="26"/>
              </w:rPr>
            </w:pPr>
            <w:r>
              <w:rPr>
                <w:sz w:val="26"/>
              </w:rPr>
              <w:t>Regolamento UE 2016/425)</w:t>
            </w:r>
          </w:p>
        </w:tc>
        <w:tc>
          <w:tcPr>
            <w:tcW w:w="3211" w:type="dxa"/>
            <w:tcBorders>
              <w:top w:val="nil"/>
              <w:bottom w:val="nil"/>
            </w:tcBorders>
          </w:tcPr>
          <w:p>
            <w:pPr>
              <w:pStyle w:val="TableParagraph"/>
              <w:spacing w:line="273" w:lineRule="exact"/>
              <w:ind w:left="15"/>
              <w:rPr>
                <w:b/>
                <w:sz w:val="26"/>
              </w:rPr>
            </w:pPr>
            <w:r>
              <w:rPr>
                <w:b/>
                <w:w w:val="99"/>
                <w:sz w:val="26"/>
              </w:rPr>
              <w:t>+</w:t>
            </w:r>
          </w:p>
        </w:tc>
        <w:tc>
          <w:tcPr>
            <w:tcW w:w="3211" w:type="dxa"/>
            <w:tcBorders>
              <w:top w:val="nil"/>
              <w:bottom w:val="nil"/>
            </w:tcBorders>
          </w:tcPr>
          <w:p>
            <w:pPr>
              <w:pStyle w:val="TableParagraph"/>
              <w:spacing w:line="273" w:lineRule="exact"/>
              <w:ind w:left="15"/>
              <w:rPr>
                <w:b/>
                <w:sz w:val="26"/>
              </w:rPr>
            </w:pPr>
            <w:r>
              <w:rPr>
                <w:b/>
                <w:w w:val="99"/>
                <w:sz w:val="26"/>
              </w:rPr>
              <w:t>+</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4" w:right="108"/>
              <w:rPr>
                <w:sz w:val="26"/>
              </w:rPr>
            </w:pPr>
            <w:r>
              <w:rPr>
                <w:sz w:val="26"/>
              </w:rPr>
              <w:t>Modulo C</w:t>
            </w:r>
          </w:p>
        </w:tc>
        <w:tc>
          <w:tcPr>
            <w:tcW w:w="3211" w:type="dxa"/>
            <w:tcBorders>
              <w:top w:val="nil"/>
              <w:bottom w:val="nil"/>
            </w:tcBorders>
          </w:tcPr>
          <w:p>
            <w:pPr>
              <w:pStyle w:val="TableParagraph"/>
              <w:spacing w:line="273" w:lineRule="exact"/>
              <w:ind w:left="120" w:right="108"/>
              <w:rPr>
                <w:sz w:val="26"/>
              </w:rPr>
            </w:pPr>
            <w:r>
              <w:rPr>
                <w:sz w:val="26"/>
              </w:rPr>
              <w:t>Modulo C2</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1" w:right="108"/>
              <w:rPr>
                <w:sz w:val="26"/>
              </w:rPr>
            </w:pPr>
            <w:r>
              <w:rPr>
                <w:sz w:val="26"/>
              </w:rPr>
              <w:t>Conformità al tipo basata sul</w:t>
            </w:r>
          </w:p>
        </w:tc>
        <w:tc>
          <w:tcPr>
            <w:tcW w:w="3211" w:type="dxa"/>
            <w:tcBorders>
              <w:top w:val="nil"/>
              <w:bottom w:val="nil"/>
            </w:tcBorders>
          </w:tcPr>
          <w:p>
            <w:pPr>
              <w:pStyle w:val="TableParagraph"/>
              <w:spacing w:line="273" w:lineRule="exact"/>
              <w:ind w:left="121" w:right="108"/>
              <w:rPr>
                <w:sz w:val="26"/>
              </w:rPr>
            </w:pPr>
            <w:r>
              <w:rPr>
                <w:sz w:val="26"/>
              </w:rPr>
              <w:t>Conformità al tipo basata sul</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18" w:right="108"/>
              <w:rPr>
                <w:sz w:val="26"/>
              </w:rPr>
            </w:pPr>
            <w:r>
              <w:rPr>
                <w:sz w:val="26"/>
              </w:rPr>
              <w:t>controllo interno della</w:t>
            </w:r>
          </w:p>
        </w:tc>
        <w:tc>
          <w:tcPr>
            <w:tcW w:w="3211" w:type="dxa"/>
            <w:tcBorders>
              <w:top w:val="nil"/>
              <w:bottom w:val="nil"/>
            </w:tcBorders>
          </w:tcPr>
          <w:p>
            <w:pPr>
              <w:pStyle w:val="TableParagraph"/>
              <w:spacing w:line="273" w:lineRule="exact"/>
              <w:ind w:left="119" w:right="108"/>
              <w:rPr>
                <w:sz w:val="26"/>
              </w:rPr>
            </w:pPr>
            <w:r>
              <w:rPr>
                <w:sz w:val="26"/>
              </w:rPr>
              <w:t>controllo interno della</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0" w:right="108"/>
              <w:rPr>
                <w:sz w:val="26"/>
              </w:rPr>
            </w:pPr>
            <w:r>
              <w:rPr>
                <w:sz w:val="26"/>
              </w:rPr>
              <w:t>produzione (Allegato VI del</w:t>
            </w:r>
          </w:p>
        </w:tc>
        <w:tc>
          <w:tcPr>
            <w:tcW w:w="3211" w:type="dxa"/>
            <w:tcBorders>
              <w:top w:val="nil"/>
              <w:bottom w:val="nil"/>
            </w:tcBorders>
          </w:tcPr>
          <w:p>
            <w:pPr>
              <w:pStyle w:val="TableParagraph"/>
              <w:spacing w:line="273" w:lineRule="exact"/>
              <w:ind w:left="125" w:right="108"/>
              <w:rPr>
                <w:sz w:val="26"/>
              </w:rPr>
            </w:pPr>
            <w:r>
              <w:rPr>
                <w:sz w:val="26"/>
              </w:rPr>
              <w:t>produzione unito a prove del</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17" w:right="108"/>
              <w:rPr>
                <w:sz w:val="26"/>
              </w:rPr>
            </w:pPr>
            <w:r>
              <w:rPr>
                <w:sz w:val="26"/>
              </w:rPr>
              <w:t>Regolamento UE 2016/425)</w:t>
            </w:r>
          </w:p>
        </w:tc>
        <w:tc>
          <w:tcPr>
            <w:tcW w:w="3211" w:type="dxa"/>
            <w:tcBorders>
              <w:top w:val="nil"/>
              <w:bottom w:val="nil"/>
            </w:tcBorders>
          </w:tcPr>
          <w:p>
            <w:pPr>
              <w:pStyle w:val="TableParagraph"/>
              <w:spacing w:line="273" w:lineRule="exact"/>
              <w:ind w:left="116" w:right="108"/>
              <w:rPr>
                <w:sz w:val="26"/>
              </w:rPr>
            </w:pPr>
            <w:r>
              <w:rPr>
                <w:sz w:val="26"/>
              </w:rPr>
              <w:t>prodotto sotto controllo</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0" w:right="108"/>
              <w:rPr>
                <w:sz w:val="26"/>
              </w:rPr>
            </w:pPr>
            <w:r>
              <w:rPr>
                <w:sz w:val="26"/>
              </w:rPr>
              <w:t>ufficiale effettuate a intervalli</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0" w:right="108"/>
              <w:rPr>
                <w:sz w:val="26"/>
              </w:rPr>
            </w:pPr>
            <w:r>
              <w:rPr>
                <w:sz w:val="26"/>
              </w:rPr>
              <w:t>casuali</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5" w:right="107"/>
              <w:rPr>
                <w:sz w:val="26"/>
              </w:rPr>
            </w:pPr>
            <w:r>
              <w:rPr>
                <w:sz w:val="26"/>
              </w:rPr>
              <w:t>(Allegato VII del</w:t>
            </w:r>
          </w:p>
        </w:tc>
      </w:tr>
      <w:tr>
        <w:trPr>
          <w:trHeight w:val="436" w:hRule="atLeast"/>
        </w:trPr>
        <w:tc>
          <w:tcPr>
            <w:tcW w:w="3206" w:type="dxa"/>
            <w:tcBorders>
              <w:top w:val="nil"/>
              <w:bottom w:val="nil"/>
            </w:tcBorders>
          </w:tcPr>
          <w:p>
            <w:pPr>
              <w:pStyle w:val="TableParagraph"/>
              <w:jc w:val="left"/>
              <w:rPr>
                <w:rFonts w:ascii="Times New Roman"/>
                <w:sz w:val="24"/>
              </w:rPr>
            </w:pPr>
          </w:p>
        </w:tc>
        <w:tc>
          <w:tcPr>
            <w:tcW w:w="3211" w:type="dxa"/>
            <w:tcBorders>
              <w:top w:val="nil"/>
              <w:bottom w:val="nil"/>
            </w:tcBorders>
          </w:tcPr>
          <w:p>
            <w:pPr>
              <w:pStyle w:val="TableParagraph"/>
              <w:jc w:val="left"/>
              <w:rPr>
                <w:rFonts w:ascii="Times New Roman"/>
                <w:sz w:val="24"/>
              </w:rPr>
            </w:pPr>
          </w:p>
        </w:tc>
        <w:tc>
          <w:tcPr>
            <w:tcW w:w="3211" w:type="dxa"/>
            <w:tcBorders>
              <w:top w:val="nil"/>
              <w:bottom w:val="nil"/>
            </w:tcBorders>
          </w:tcPr>
          <w:p>
            <w:pPr>
              <w:pStyle w:val="TableParagraph"/>
              <w:ind w:left="117" w:right="108"/>
              <w:rPr>
                <w:sz w:val="26"/>
              </w:rPr>
            </w:pPr>
            <w:r>
              <w:rPr>
                <w:sz w:val="26"/>
              </w:rPr>
              <w:t>Regolamento UE 2016/425)</w:t>
            </w:r>
          </w:p>
        </w:tc>
      </w:tr>
      <w:tr>
        <w:trPr>
          <w:trHeight w:val="583" w:hRule="atLeast"/>
        </w:trPr>
        <w:tc>
          <w:tcPr>
            <w:tcW w:w="3206" w:type="dxa"/>
            <w:tcBorders>
              <w:top w:val="nil"/>
              <w:bottom w:val="nil"/>
            </w:tcBorders>
          </w:tcPr>
          <w:p>
            <w:pPr>
              <w:pStyle w:val="TableParagraph"/>
              <w:jc w:val="left"/>
              <w:rPr>
                <w:rFonts w:ascii="Times New Roman"/>
                <w:sz w:val="24"/>
              </w:rPr>
            </w:pPr>
          </w:p>
        </w:tc>
        <w:tc>
          <w:tcPr>
            <w:tcW w:w="3211" w:type="dxa"/>
            <w:tcBorders>
              <w:top w:val="nil"/>
              <w:bottom w:val="nil"/>
            </w:tcBorders>
          </w:tcPr>
          <w:p>
            <w:pPr>
              <w:pStyle w:val="TableParagraph"/>
              <w:jc w:val="left"/>
              <w:rPr>
                <w:rFonts w:ascii="Times New Roman"/>
                <w:sz w:val="24"/>
              </w:rPr>
            </w:pPr>
          </w:p>
        </w:tc>
        <w:tc>
          <w:tcPr>
            <w:tcW w:w="3211" w:type="dxa"/>
            <w:tcBorders>
              <w:top w:val="nil"/>
              <w:bottom w:val="nil"/>
            </w:tcBorders>
          </w:tcPr>
          <w:p>
            <w:pPr>
              <w:pStyle w:val="TableParagraph"/>
              <w:spacing w:before="144"/>
              <w:ind w:left="125" w:right="108"/>
              <w:rPr>
                <w:b/>
                <w:sz w:val="26"/>
              </w:rPr>
            </w:pPr>
            <w:r>
              <w:rPr>
                <w:b/>
                <w:sz w:val="26"/>
              </w:rPr>
              <w:t>oppure</w:t>
            </w:r>
          </w:p>
        </w:tc>
      </w:tr>
      <w:tr>
        <w:trPr>
          <w:trHeight w:val="439" w:hRule="atLeast"/>
        </w:trPr>
        <w:tc>
          <w:tcPr>
            <w:tcW w:w="3206" w:type="dxa"/>
            <w:tcBorders>
              <w:top w:val="nil"/>
              <w:bottom w:val="nil"/>
            </w:tcBorders>
          </w:tcPr>
          <w:p>
            <w:pPr>
              <w:pStyle w:val="TableParagraph"/>
              <w:jc w:val="left"/>
              <w:rPr>
                <w:rFonts w:ascii="Times New Roman"/>
                <w:sz w:val="24"/>
              </w:rPr>
            </w:pPr>
          </w:p>
        </w:tc>
        <w:tc>
          <w:tcPr>
            <w:tcW w:w="3211" w:type="dxa"/>
            <w:tcBorders>
              <w:top w:val="nil"/>
              <w:bottom w:val="nil"/>
            </w:tcBorders>
          </w:tcPr>
          <w:p>
            <w:pPr>
              <w:pStyle w:val="TableParagraph"/>
              <w:jc w:val="left"/>
              <w:rPr>
                <w:rFonts w:ascii="Times New Roman"/>
                <w:sz w:val="24"/>
              </w:rPr>
            </w:pPr>
          </w:p>
        </w:tc>
        <w:tc>
          <w:tcPr>
            <w:tcW w:w="3211" w:type="dxa"/>
            <w:tcBorders>
              <w:top w:val="nil"/>
              <w:bottom w:val="nil"/>
            </w:tcBorders>
          </w:tcPr>
          <w:p>
            <w:pPr>
              <w:pStyle w:val="TableParagraph"/>
              <w:spacing w:line="273" w:lineRule="exact" w:before="146"/>
              <w:ind w:left="119" w:right="108"/>
              <w:rPr>
                <w:sz w:val="26"/>
              </w:rPr>
            </w:pPr>
            <w:r>
              <w:rPr>
                <w:sz w:val="26"/>
              </w:rPr>
              <w:t>Modulo B</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5" w:right="107"/>
              <w:rPr>
                <w:sz w:val="26"/>
              </w:rPr>
            </w:pPr>
            <w:r>
              <w:rPr>
                <w:sz w:val="26"/>
              </w:rPr>
              <w:t>Esame UE del tipo</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1" w:right="108"/>
              <w:rPr>
                <w:sz w:val="26"/>
              </w:rPr>
            </w:pPr>
            <w:r>
              <w:rPr>
                <w:sz w:val="26"/>
              </w:rPr>
              <w:t>(Allegato V del Regolamento</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17" w:right="108"/>
              <w:rPr>
                <w:sz w:val="26"/>
              </w:rPr>
            </w:pPr>
            <w:r>
              <w:rPr>
                <w:sz w:val="26"/>
              </w:rPr>
              <w:t>UE 2016/425)</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5"/>
              <w:rPr>
                <w:b/>
                <w:sz w:val="26"/>
              </w:rPr>
            </w:pPr>
            <w:r>
              <w:rPr>
                <w:b/>
                <w:w w:val="99"/>
                <w:sz w:val="26"/>
              </w:rPr>
              <w:t>+</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1" w:right="108"/>
              <w:rPr>
                <w:sz w:val="26"/>
              </w:rPr>
            </w:pPr>
            <w:r>
              <w:rPr>
                <w:sz w:val="26"/>
              </w:rPr>
              <w:t>Modulo D</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19" w:right="108"/>
              <w:rPr>
                <w:sz w:val="26"/>
              </w:rPr>
            </w:pPr>
            <w:r>
              <w:rPr>
                <w:sz w:val="26"/>
              </w:rPr>
              <w:t>Conformità al tipo basata</w:t>
            </w:r>
          </w:p>
        </w:tc>
      </w:tr>
      <w:tr>
        <w:trPr>
          <w:trHeight w:val="292" w:hRule="atLeast"/>
        </w:trPr>
        <w:tc>
          <w:tcPr>
            <w:tcW w:w="3206"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jc w:val="left"/>
              <w:rPr>
                <w:rFonts w:ascii="Times New Roman"/>
                <w:sz w:val="20"/>
              </w:rPr>
            </w:pPr>
          </w:p>
        </w:tc>
        <w:tc>
          <w:tcPr>
            <w:tcW w:w="3211" w:type="dxa"/>
            <w:tcBorders>
              <w:top w:val="nil"/>
              <w:bottom w:val="nil"/>
            </w:tcBorders>
          </w:tcPr>
          <w:p>
            <w:pPr>
              <w:pStyle w:val="TableParagraph"/>
              <w:spacing w:line="273" w:lineRule="exact"/>
              <w:ind w:left="125" w:right="108"/>
              <w:rPr>
                <w:sz w:val="26"/>
              </w:rPr>
            </w:pPr>
            <w:r>
              <w:rPr>
                <w:sz w:val="26"/>
              </w:rPr>
              <w:t>sulla garanzia di qualità del</w:t>
            </w:r>
          </w:p>
        </w:tc>
      </w:tr>
      <w:tr>
        <w:trPr>
          <w:trHeight w:val="876" w:hRule="atLeast"/>
        </w:trPr>
        <w:tc>
          <w:tcPr>
            <w:tcW w:w="3206" w:type="dxa"/>
            <w:tcBorders>
              <w:top w:val="nil"/>
            </w:tcBorders>
          </w:tcPr>
          <w:p>
            <w:pPr>
              <w:pStyle w:val="TableParagraph"/>
              <w:jc w:val="left"/>
              <w:rPr>
                <w:rFonts w:ascii="Times New Roman"/>
                <w:sz w:val="24"/>
              </w:rPr>
            </w:pPr>
          </w:p>
        </w:tc>
        <w:tc>
          <w:tcPr>
            <w:tcW w:w="3211" w:type="dxa"/>
            <w:tcBorders>
              <w:top w:val="nil"/>
            </w:tcBorders>
          </w:tcPr>
          <w:p>
            <w:pPr>
              <w:pStyle w:val="TableParagraph"/>
              <w:jc w:val="left"/>
              <w:rPr>
                <w:rFonts w:ascii="Times New Roman"/>
                <w:sz w:val="24"/>
              </w:rPr>
            </w:pPr>
          </w:p>
        </w:tc>
        <w:tc>
          <w:tcPr>
            <w:tcW w:w="3211" w:type="dxa"/>
            <w:tcBorders>
              <w:top w:val="nil"/>
            </w:tcBorders>
          </w:tcPr>
          <w:p>
            <w:pPr>
              <w:pStyle w:val="TableParagraph"/>
              <w:ind w:left="125" w:right="107"/>
              <w:rPr>
                <w:sz w:val="26"/>
              </w:rPr>
            </w:pPr>
            <w:r>
              <w:rPr>
                <w:sz w:val="26"/>
              </w:rPr>
              <w:t>processo di produzione</w:t>
            </w:r>
          </w:p>
        </w:tc>
      </w:tr>
    </w:tbl>
    <w:p>
      <w:pPr>
        <w:spacing w:after="0"/>
        <w:rPr>
          <w:sz w:val="26"/>
        </w:rPr>
        <w:sectPr>
          <w:pgSz w:w="11910" w:h="16840"/>
          <w:pgMar w:header="697" w:footer="727" w:top="2240" w:bottom="920" w:left="96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BodyText"/>
        <w:spacing w:before="99"/>
        <w:ind w:left="182" w:right="151"/>
      </w:pPr>
      <w:r>
        <w:rPr>
          <w:u w:val="single"/>
        </w:rPr>
        <w:t>Check list dei controlli che gli Uffici delle dogane sono tenuti ad effettuare prima di segnalare al</w:t>
      </w:r>
      <w:r>
        <w:rPr/>
        <w:t> </w:t>
      </w:r>
      <w:r>
        <w:rPr>
          <w:u w:val="single"/>
        </w:rPr>
        <w:t>MISE la spedizione:</w:t>
      </w:r>
    </w:p>
    <w:p>
      <w:pPr>
        <w:pStyle w:val="BodyText"/>
        <w:spacing w:before="3"/>
        <w:rPr>
          <w:sz w:val="18"/>
        </w:rPr>
      </w:pPr>
    </w:p>
    <w:p>
      <w:pPr>
        <w:pStyle w:val="ListParagraph"/>
        <w:numPr>
          <w:ilvl w:val="0"/>
          <w:numId w:val="5"/>
        </w:numPr>
        <w:tabs>
          <w:tab w:pos="903" w:val="left" w:leader="none"/>
        </w:tabs>
        <w:spacing w:line="240" w:lineRule="auto" w:before="89" w:after="0"/>
        <w:ind w:left="902" w:right="0" w:hanging="361"/>
        <w:jc w:val="both"/>
        <w:rPr>
          <w:sz w:val="26"/>
        </w:rPr>
      </w:pPr>
      <w:r>
        <w:rPr>
          <w:sz w:val="26"/>
        </w:rPr>
        <w:t>denominazione del prodotto e direttiva di riferimento di</w:t>
      </w:r>
      <w:r>
        <w:rPr>
          <w:spacing w:val="7"/>
          <w:sz w:val="26"/>
        </w:rPr>
        <w:t> </w:t>
      </w:r>
      <w:r>
        <w:rPr>
          <w:sz w:val="26"/>
        </w:rPr>
        <w:t>prodotto;</w:t>
      </w:r>
    </w:p>
    <w:p>
      <w:pPr>
        <w:pStyle w:val="ListParagraph"/>
        <w:numPr>
          <w:ilvl w:val="0"/>
          <w:numId w:val="5"/>
        </w:numPr>
        <w:tabs>
          <w:tab w:pos="903" w:val="left" w:leader="none"/>
        </w:tabs>
        <w:spacing w:line="240" w:lineRule="auto" w:before="1" w:after="0"/>
        <w:ind w:left="902" w:right="124" w:hanging="360"/>
        <w:jc w:val="both"/>
        <w:rPr>
          <w:sz w:val="26"/>
        </w:rPr>
      </w:pPr>
      <w:r>
        <w:rPr>
          <w:sz w:val="26"/>
        </w:rPr>
        <w:t>chiara individuazione della posizione giuridica del soggetto (fabbricante e/o</w:t>
      </w:r>
      <w:r>
        <w:rPr>
          <w:spacing w:val="-46"/>
          <w:sz w:val="26"/>
        </w:rPr>
        <w:t> </w:t>
      </w:r>
      <w:r>
        <w:rPr>
          <w:sz w:val="26"/>
        </w:rPr>
        <w:t>importatore) i cui estremi sono apposti sul</w:t>
      </w:r>
      <w:r>
        <w:rPr>
          <w:spacing w:val="2"/>
          <w:sz w:val="26"/>
        </w:rPr>
        <w:t> </w:t>
      </w:r>
      <w:r>
        <w:rPr>
          <w:sz w:val="26"/>
        </w:rPr>
        <w:t>prodotto;</w:t>
      </w:r>
    </w:p>
    <w:p>
      <w:pPr>
        <w:pStyle w:val="ListParagraph"/>
        <w:numPr>
          <w:ilvl w:val="0"/>
          <w:numId w:val="5"/>
        </w:numPr>
        <w:tabs>
          <w:tab w:pos="903" w:val="left" w:leader="none"/>
        </w:tabs>
        <w:spacing w:line="240" w:lineRule="auto" w:before="0" w:after="0"/>
        <w:ind w:left="902" w:right="123" w:hanging="360"/>
        <w:jc w:val="both"/>
        <w:rPr>
          <w:sz w:val="26"/>
        </w:rPr>
      </w:pPr>
      <w:r>
        <w:rPr>
          <w:sz w:val="26"/>
        </w:rPr>
        <w:t>numero di tipo, di lotto, di serie che consenta l’individuazione e che permetta l'univoca identificazione tra i vari certificati e/o dichiarazioni</w:t>
      </w:r>
      <w:r>
        <w:rPr>
          <w:spacing w:val="-4"/>
          <w:sz w:val="26"/>
        </w:rPr>
        <w:t> </w:t>
      </w:r>
      <w:r>
        <w:rPr>
          <w:sz w:val="26"/>
        </w:rPr>
        <w:t>consegnate;</w:t>
      </w:r>
    </w:p>
    <w:p>
      <w:pPr>
        <w:pStyle w:val="ListParagraph"/>
        <w:numPr>
          <w:ilvl w:val="0"/>
          <w:numId w:val="5"/>
        </w:numPr>
        <w:tabs>
          <w:tab w:pos="903" w:val="left" w:leader="none"/>
        </w:tabs>
        <w:spacing w:line="240" w:lineRule="auto" w:before="0" w:after="0"/>
        <w:ind w:left="902" w:right="123" w:hanging="360"/>
        <w:jc w:val="both"/>
        <w:rPr>
          <w:sz w:val="26"/>
        </w:rPr>
      </w:pPr>
      <w:r>
        <w:rPr>
          <w:sz w:val="26"/>
        </w:rPr>
        <w:t>riferimenti</w:t>
      </w:r>
      <w:r>
        <w:rPr>
          <w:spacing w:val="-14"/>
          <w:sz w:val="26"/>
        </w:rPr>
        <w:t> </w:t>
      </w:r>
      <w:r>
        <w:rPr>
          <w:sz w:val="26"/>
        </w:rPr>
        <w:t>alle</w:t>
      </w:r>
      <w:r>
        <w:rPr>
          <w:spacing w:val="-8"/>
          <w:sz w:val="26"/>
        </w:rPr>
        <w:t> </w:t>
      </w:r>
      <w:r>
        <w:rPr>
          <w:sz w:val="26"/>
        </w:rPr>
        <w:t>norme</w:t>
      </w:r>
      <w:r>
        <w:rPr>
          <w:spacing w:val="-13"/>
          <w:sz w:val="26"/>
        </w:rPr>
        <w:t> </w:t>
      </w:r>
      <w:r>
        <w:rPr>
          <w:sz w:val="26"/>
        </w:rPr>
        <w:t>e</w:t>
      </w:r>
      <w:r>
        <w:rPr>
          <w:spacing w:val="-9"/>
          <w:sz w:val="26"/>
        </w:rPr>
        <w:t> </w:t>
      </w:r>
      <w:r>
        <w:rPr>
          <w:sz w:val="26"/>
        </w:rPr>
        <w:t>alle</w:t>
      </w:r>
      <w:r>
        <w:rPr>
          <w:spacing w:val="-8"/>
          <w:sz w:val="26"/>
        </w:rPr>
        <w:t> </w:t>
      </w:r>
      <w:r>
        <w:rPr>
          <w:sz w:val="26"/>
        </w:rPr>
        <w:t>regole</w:t>
      </w:r>
      <w:r>
        <w:rPr>
          <w:spacing w:val="-9"/>
          <w:sz w:val="26"/>
        </w:rPr>
        <w:t> </w:t>
      </w:r>
      <w:r>
        <w:rPr>
          <w:sz w:val="26"/>
        </w:rPr>
        <w:t>tecniche</w:t>
      </w:r>
      <w:r>
        <w:rPr>
          <w:spacing w:val="-8"/>
          <w:sz w:val="26"/>
        </w:rPr>
        <w:t> </w:t>
      </w:r>
      <w:r>
        <w:rPr>
          <w:sz w:val="26"/>
        </w:rPr>
        <w:t>utilizzate</w:t>
      </w:r>
      <w:r>
        <w:rPr>
          <w:spacing w:val="-9"/>
          <w:sz w:val="26"/>
        </w:rPr>
        <w:t> </w:t>
      </w:r>
      <w:r>
        <w:rPr>
          <w:sz w:val="26"/>
        </w:rPr>
        <w:t>per</w:t>
      </w:r>
      <w:r>
        <w:rPr>
          <w:spacing w:val="-11"/>
          <w:sz w:val="26"/>
        </w:rPr>
        <w:t> </w:t>
      </w:r>
      <w:r>
        <w:rPr>
          <w:sz w:val="26"/>
        </w:rPr>
        <w:t>la</w:t>
      </w:r>
      <w:r>
        <w:rPr>
          <w:spacing w:val="-11"/>
          <w:sz w:val="26"/>
        </w:rPr>
        <w:t> </w:t>
      </w:r>
      <w:r>
        <w:rPr>
          <w:sz w:val="26"/>
        </w:rPr>
        <w:t>progettazione</w:t>
      </w:r>
      <w:r>
        <w:rPr>
          <w:spacing w:val="-13"/>
          <w:sz w:val="26"/>
        </w:rPr>
        <w:t> </w:t>
      </w:r>
      <w:r>
        <w:rPr>
          <w:sz w:val="26"/>
        </w:rPr>
        <w:t>e</w:t>
      </w:r>
      <w:r>
        <w:rPr>
          <w:spacing w:val="-9"/>
          <w:sz w:val="26"/>
        </w:rPr>
        <w:t> </w:t>
      </w:r>
      <w:r>
        <w:rPr>
          <w:sz w:val="26"/>
        </w:rPr>
        <w:t>fabbricazione, al livello o alla classe di protezione del dispositivo ed al rischio da cui il dispositivo è destinato a</w:t>
      </w:r>
      <w:r>
        <w:rPr>
          <w:spacing w:val="-4"/>
          <w:sz w:val="26"/>
        </w:rPr>
        <w:t> </w:t>
      </w:r>
      <w:r>
        <w:rPr>
          <w:sz w:val="26"/>
        </w:rPr>
        <w:t>proteggere;</w:t>
      </w:r>
    </w:p>
    <w:p>
      <w:pPr>
        <w:pStyle w:val="ListParagraph"/>
        <w:numPr>
          <w:ilvl w:val="0"/>
          <w:numId w:val="5"/>
        </w:numPr>
        <w:tabs>
          <w:tab w:pos="903" w:val="left" w:leader="none"/>
        </w:tabs>
        <w:spacing w:line="240" w:lineRule="auto" w:before="0" w:after="0"/>
        <w:ind w:left="902" w:right="121" w:hanging="360"/>
        <w:jc w:val="both"/>
        <w:rPr>
          <w:sz w:val="26"/>
        </w:rPr>
      </w:pPr>
      <w:r>
        <w:rPr>
          <w:sz w:val="26"/>
        </w:rPr>
        <w:t>nome, denominazione commerciale registrata o marchio registrato del fabbricante (o del mandatario in UE) e indirizzo postale dove può essere contattato (L’indirizzo deve indicare un unico recapito in cui il fabbricante può essere</w:t>
      </w:r>
      <w:r>
        <w:rPr>
          <w:spacing w:val="3"/>
          <w:sz w:val="26"/>
        </w:rPr>
        <w:t> </w:t>
      </w:r>
      <w:r>
        <w:rPr>
          <w:sz w:val="26"/>
        </w:rPr>
        <w:t>contattato);</w:t>
      </w:r>
    </w:p>
    <w:p>
      <w:pPr>
        <w:pStyle w:val="ListParagraph"/>
        <w:numPr>
          <w:ilvl w:val="0"/>
          <w:numId w:val="5"/>
        </w:numPr>
        <w:tabs>
          <w:tab w:pos="903" w:val="left" w:leader="none"/>
        </w:tabs>
        <w:spacing w:line="240" w:lineRule="auto" w:before="0" w:after="0"/>
        <w:ind w:left="902" w:right="121" w:hanging="360"/>
        <w:jc w:val="both"/>
        <w:rPr>
          <w:sz w:val="26"/>
        </w:rPr>
      </w:pPr>
      <w:r>
        <w:rPr>
          <w:sz w:val="26"/>
        </w:rPr>
        <w:t>nome, denominazione commerciale registrata o marchio registrato dell'importatore (nel caso in cui il fabbricante sia extra UE) e indirizzo postale dove può essere</w:t>
      </w:r>
      <w:r>
        <w:rPr>
          <w:spacing w:val="-16"/>
          <w:sz w:val="26"/>
        </w:rPr>
        <w:t> </w:t>
      </w:r>
      <w:r>
        <w:rPr>
          <w:sz w:val="26"/>
        </w:rPr>
        <w:t>contattato;</w:t>
      </w:r>
    </w:p>
    <w:p>
      <w:pPr>
        <w:pStyle w:val="ListParagraph"/>
        <w:numPr>
          <w:ilvl w:val="0"/>
          <w:numId w:val="5"/>
        </w:numPr>
        <w:tabs>
          <w:tab w:pos="903" w:val="left" w:leader="none"/>
        </w:tabs>
        <w:spacing w:line="240" w:lineRule="auto" w:before="0" w:after="0"/>
        <w:ind w:left="902" w:right="123" w:hanging="360"/>
        <w:jc w:val="both"/>
        <w:rPr>
          <w:sz w:val="26"/>
        </w:rPr>
      </w:pPr>
      <w:r>
        <w:rPr>
          <w:sz w:val="26"/>
        </w:rPr>
        <w:t>informazioni di cui al punto 1.4 dell’allegato II del Regolamento (UE) 2016/425 ed istruzioni d’uso in lingua italiana o in una lingua facilmente</w:t>
      </w:r>
      <w:r>
        <w:rPr>
          <w:spacing w:val="3"/>
          <w:sz w:val="26"/>
        </w:rPr>
        <w:t> </w:t>
      </w:r>
      <w:r>
        <w:rPr>
          <w:sz w:val="26"/>
        </w:rPr>
        <w:t>comprensibile;</w:t>
      </w:r>
    </w:p>
    <w:p>
      <w:pPr>
        <w:pStyle w:val="ListParagraph"/>
        <w:numPr>
          <w:ilvl w:val="0"/>
          <w:numId w:val="5"/>
        </w:numPr>
        <w:tabs>
          <w:tab w:pos="903" w:val="left" w:leader="none"/>
        </w:tabs>
        <w:spacing w:line="240" w:lineRule="auto" w:before="0" w:after="0"/>
        <w:ind w:left="902" w:right="120" w:hanging="360"/>
        <w:jc w:val="both"/>
        <w:rPr>
          <w:sz w:val="26"/>
        </w:rPr>
      </w:pPr>
      <w:r>
        <w:rPr>
          <w:sz w:val="26"/>
        </w:rPr>
        <w:t>marcatura CE, che deve essere apposta sul DPI in modo visibile, leggibile e indelebile.</w:t>
      </w:r>
      <w:r>
        <w:rPr>
          <w:spacing w:val="-45"/>
          <w:sz w:val="26"/>
        </w:rPr>
        <w:t> </w:t>
      </w:r>
      <w:r>
        <w:rPr>
          <w:spacing w:val="-3"/>
          <w:sz w:val="26"/>
        </w:rPr>
        <w:t>Se </w:t>
      </w:r>
      <w:r>
        <w:rPr>
          <w:sz w:val="26"/>
        </w:rPr>
        <w:t>ciò fosse impossibile o ingiustificato a causa della natura del DPI, la marcatura CE è apposta</w:t>
      </w:r>
      <w:r>
        <w:rPr>
          <w:spacing w:val="-11"/>
          <w:sz w:val="26"/>
        </w:rPr>
        <w:t> </w:t>
      </w:r>
      <w:r>
        <w:rPr>
          <w:sz w:val="26"/>
        </w:rPr>
        <w:t>sull’imballaggio</w:t>
      </w:r>
      <w:r>
        <w:rPr>
          <w:spacing w:val="-9"/>
          <w:sz w:val="26"/>
        </w:rPr>
        <w:t> </w:t>
      </w:r>
      <w:r>
        <w:rPr>
          <w:sz w:val="26"/>
        </w:rPr>
        <w:t>o</w:t>
      </w:r>
      <w:r>
        <w:rPr>
          <w:spacing w:val="-9"/>
          <w:sz w:val="26"/>
        </w:rPr>
        <w:t> </w:t>
      </w:r>
      <w:r>
        <w:rPr>
          <w:sz w:val="26"/>
        </w:rPr>
        <w:t>sui</w:t>
      </w:r>
      <w:r>
        <w:rPr>
          <w:spacing w:val="-13"/>
          <w:sz w:val="26"/>
        </w:rPr>
        <w:t> </w:t>
      </w:r>
      <w:r>
        <w:rPr>
          <w:sz w:val="26"/>
        </w:rPr>
        <w:t>documenti</w:t>
      </w:r>
      <w:r>
        <w:rPr>
          <w:spacing w:val="-13"/>
          <w:sz w:val="26"/>
        </w:rPr>
        <w:t> </w:t>
      </w:r>
      <w:r>
        <w:rPr>
          <w:sz w:val="26"/>
        </w:rPr>
        <w:t>di</w:t>
      </w:r>
      <w:r>
        <w:rPr>
          <w:spacing w:val="-12"/>
          <w:sz w:val="26"/>
        </w:rPr>
        <w:t> </w:t>
      </w:r>
      <w:r>
        <w:rPr>
          <w:sz w:val="26"/>
        </w:rPr>
        <w:t>accompagnamento</w:t>
      </w:r>
      <w:r>
        <w:rPr>
          <w:spacing w:val="-9"/>
          <w:sz w:val="26"/>
        </w:rPr>
        <w:t> </w:t>
      </w:r>
      <w:r>
        <w:rPr>
          <w:sz w:val="26"/>
        </w:rPr>
        <w:t>del</w:t>
      </w:r>
      <w:r>
        <w:rPr>
          <w:spacing w:val="-13"/>
          <w:sz w:val="26"/>
        </w:rPr>
        <w:t> </w:t>
      </w:r>
      <w:r>
        <w:rPr>
          <w:sz w:val="26"/>
        </w:rPr>
        <w:t>DPI.</w:t>
      </w:r>
      <w:r>
        <w:rPr>
          <w:spacing w:val="-10"/>
          <w:sz w:val="26"/>
        </w:rPr>
        <w:t> </w:t>
      </w:r>
      <w:r>
        <w:rPr>
          <w:sz w:val="26"/>
        </w:rPr>
        <w:t>La</w:t>
      </w:r>
      <w:r>
        <w:rPr>
          <w:spacing w:val="-11"/>
          <w:sz w:val="26"/>
        </w:rPr>
        <w:t> </w:t>
      </w:r>
      <w:r>
        <w:rPr>
          <w:sz w:val="26"/>
        </w:rPr>
        <w:t>marcatura</w:t>
      </w:r>
      <w:r>
        <w:rPr>
          <w:spacing w:val="-11"/>
          <w:sz w:val="26"/>
        </w:rPr>
        <w:t> </w:t>
      </w:r>
      <w:r>
        <w:rPr>
          <w:sz w:val="26"/>
        </w:rPr>
        <w:t>CE è soggetta ai principi generali di cui all’art. 30 del Regolamento (CE) n.</w:t>
      </w:r>
      <w:r>
        <w:rPr>
          <w:spacing w:val="-15"/>
          <w:sz w:val="26"/>
        </w:rPr>
        <w:t> </w:t>
      </w:r>
      <w:r>
        <w:rPr>
          <w:sz w:val="26"/>
        </w:rPr>
        <w:t>765/2008</w:t>
      </w:r>
      <w:r>
        <w:rPr>
          <w:position w:val="6"/>
          <w:sz w:val="17"/>
        </w:rPr>
        <w:t>1</w:t>
      </w:r>
      <w:r>
        <w:rPr>
          <w:sz w:val="26"/>
        </w:rPr>
        <w:t>.</w:t>
      </w:r>
    </w:p>
    <w:p>
      <w:pPr>
        <w:pStyle w:val="ListParagraph"/>
        <w:numPr>
          <w:ilvl w:val="0"/>
          <w:numId w:val="5"/>
        </w:numPr>
        <w:tabs>
          <w:tab w:pos="903" w:val="left" w:leader="none"/>
        </w:tabs>
        <w:spacing w:line="240" w:lineRule="auto" w:before="0" w:after="0"/>
        <w:ind w:left="902" w:right="118" w:hanging="360"/>
        <w:jc w:val="both"/>
        <w:rPr>
          <w:sz w:val="26"/>
        </w:rPr>
      </w:pPr>
      <w:r>
        <w:rPr>
          <w:sz w:val="26"/>
        </w:rPr>
        <w:t>certificato di esame UE del tipo (articolo 19 del Regolamento UE 2016/425) emesso da Organismo notificato e presente esclusivamente sul portale NANDO, con verifica espressa della famiglia di prodotto (protezione occhi, protezione faccia, protezione vie respiratorie,</w:t>
      </w:r>
      <w:r>
        <w:rPr>
          <w:spacing w:val="-3"/>
          <w:sz w:val="26"/>
        </w:rPr>
        <w:t> </w:t>
      </w:r>
      <w:r>
        <w:rPr>
          <w:sz w:val="26"/>
        </w:rPr>
        <w:t>ecc.);</w:t>
      </w:r>
    </w:p>
    <w:p>
      <w:pPr>
        <w:pStyle w:val="ListParagraph"/>
        <w:numPr>
          <w:ilvl w:val="0"/>
          <w:numId w:val="5"/>
        </w:numPr>
        <w:tabs>
          <w:tab w:pos="903" w:val="left" w:leader="none"/>
        </w:tabs>
        <w:spacing w:line="240" w:lineRule="auto" w:before="0" w:after="0"/>
        <w:ind w:left="902" w:right="121" w:hanging="360"/>
        <w:jc w:val="both"/>
        <w:rPr>
          <w:sz w:val="26"/>
        </w:rPr>
      </w:pPr>
      <w:r>
        <w:rPr>
          <w:sz w:val="26"/>
        </w:rPr>
        <w:t>dichiarazione di conformità UE a firma del </w:t>
      </w:r>
      <w:r>
        <w:rPr>
          <w:i/>
          <w:sz w:val="26"/>
        </w:rPr>
        <w:t>fabbricante </w:t>
      </w:r>
      <w:r>
        <w:rPr>
          <w:sz w:val="26"/>
        </w:rPr>
        <w:t>(articolo 15 del Regolamento UE 2016/425), ovvero dell’importatore nel caso in cui quest’ultimo si dichiari fabbricante ai sensi dell’articolo 12 del Regolamento</w:t>
      </w:r>
      <w:r>
        <w:rPr>
          <w:spacing w:val="1"/>
          <w:sz w:val="26"/>
        </w:rPr>
        <w:t> </w:t>
      </w:r>
      <w:r>
        <w:rPr>
          <w:sz w:val="26"/>
        </w:rPr>
        <w:t>DPI.</w:t>
      </w:r>
    </w:p>
    <w:p>
      <w:pPr>
        <w:pStyle w:val="BodyText"/>
        <w:spacing w:before="5"/>
        <w:rPr>
          <w:sz w:val="36"/>
        </w:rPr>
      </w:pPr>
    </w:p>
    <w:p>
      <w:pPr>
        <w:pStyle w:val="BodyText"/>
        <w:ind w:left="182" w:right="118"/>
        <w:jc w:val="both"/>
      </w:pPr>
      <w:r>
        <w:rPr/>
        <w:t>Per quel che concerne le istruttorie relative alle segnalazioni al MISE riguardo i dispositivi di protezione</w:t>
      </w:r>
      <w:r>
        <w:rPr>
          <w:spacing w:val="-9"/>
        </w:rPr>
        <w:t> </w:t>
      </w:r>
      <w:r>
        <w:rPr/>
        <w:t>individuale,</w:t>
      </w:r>
      <w:r>
        <w:rPr>
          <w:spacing w:val="-7"/>
        </w:rPr>
        <w:t> </w:t>
      </w:r>
      <w:r>
        <w:rPr/>
        <w:t>il</w:t>
      </w:r>
      <w:r>
        <w:rPr>
          <w:spacing w:val="-9"/>
        </w:rPr>
        <w:t> </w:t>
      </w:r>
      <w:r>
        <w:rPr/>
        <w:t>fabbricante,</w:t>
      </w:r>
      <w:r>
        <w:rPr>
          <w:spacing w:val="-11"/>
        </w:rPr>
        <w:t> </w:t>
      </w:r>
      <w:r>
        <w:rPr/>
        <w:t>ovvero</w:t>
      </w:r>
      <w:r>
        <w:rPr>
          <w:spacing w:val="-9"/>
        </w:rPr>
        <w:t> </w:t>
      </w:r>
      <w:r>
        <w:rPr/>
        <w:t>l’importatore</w:t>
      </w:r>
      <w:r>
        <w:rPr>
          <w:spacing w:val="-9"/>
        </w:rPr>
        <w:t> </w:t>
      </w:r>
      <w:r>
        <w:rPr/>
        <w:t>nel</w:t>
      </w:r>
      <w:r>
        <w:rPr>
          <w:spacing w:val="-9"/>
        </w:rPr>
        <w:t> </w:t>
      </w:r>
      <w:r>
        <w:rPr/>
        <w:t>caso</w:t>
      </w:r>
      <w:r>
        <w:rPr>
          <w:spacing w:val="-10"/>
        </w:rPr>
        <w:t> </w:t>
      </w:r>
      <w:r>
        <w:rPr/>
        <w:t>in</w:t>
      </w:r>
      <w:r>
        <w:rPr>
          <w:spacing w:val="-10"/>
        </w:rPr>
        <w:t> </w:t>
      </w:r>
      <w:r>
        <w:rPr/>
        <w:t>cui</w:t>
      </w:r>
      <w:r>
        <w:rPr>
          <w:spacing w:val="-9"/>
        </w:rPr>
        <w:t> </w:t>
      </w:r>
      <w:r>
        <w:rPr/>
        <w:t>quest’ultimo</w:t>
      </w:r>
      <w:r>
        <w:rPr>
          <w:spacing w:val="-6"/>
        </w:rPr>
        <w:t> </w:t>
      </w:r>
      <w:r>
        <w:rPr/>
        <w:t>si</w:t>
      </w:r>
      <w:r>
        <w:rPr>
          <w:spacing w:val="-9"/>
        </w:rPr>
        <w:t> </w:t>
      </w:r>
      <w:r>
        <w:rPr/>
        <w:t>dichiari come</w:t>
      </w:r>
      <w:r>
        <w:rPr>
          <w:spacing w:val="-5"/>
        </w:rPr>
        <w:t> </w:t>
      </w:r>
      <w:r>
        <w:rPr/>
        <w:t>fabbricante</w:t>
      </w:r>
      <w:r>
        <w:rPr>
          <w:spacing w:val="-5"/>
        </w:rPr>
        <w:t> </w:t>
      </w:r>
      <w:r>
        <w:rPr/>
        <w:t>(art.</w:t>
      </w:r>
      <w:r>
        <w:rPr>
          <w:spacing w:val="-6"/>
        </w:rPr>
        <w:t> </w:t>
      </w:r>
      <w:r>
        <w:rPr/>
        <w:t>12</w:t>
      </w:r>
      <w:r>
        <w:rPr>
          <w:spacing w:val="-4"/>
        </w:rPr>
        <w:t> </w:t>
      </w:r>
      <w:r>
        <w:rPr/>
        <w:t>del</w:t>
      </w:r>
      <w:r>
        <w:rPr>
          <w:spacing w:val="-9"/>
        </w:rPr>
        <w:t> </w:t>
      </w:r>
      <w:r>
        <w:rPr/>
        <w:t>Regolamento</w:t>
      </w:r>
      <w:r>
        <w:rPr>
          <w:spacing w:val="-4"/>
        </w:rPr>
        <w:t> </w:t>
      </w:r>
      <w:r>
        <w:rPr/>
        <w:t>UE</w:t>
      </w:r>
      <w:r>
        <w:rPr>
          <w:spacing w:val="-4"/>
        </w:rPr>
        <w:t> </w:t>
      </w:r>
      <w:r>
        <w:rPr/>
        <w:t>425/2016),</w:t>
      </w:r>
      <w:r>
        <w:rPr>
          <w:spacing w:val="-1"/>
        </w:rPr>
        <w:t> </w:t>
      </w:r>
      <w:r>
        <w:rPr/>
        <w:t>deve</w:t>
      </w:r>
      <w:r>
        <w:rPr>
          <w:spacing w:val="-1"/>
        </w:rPr>
        <w:t> </w:t>
      </w:r>
      <w:r>
        <w:rPr/>
        <w:t>assumersi</w:t>
      </w:r>
      <w:r>
        <w:rPr>
          <w:spacing w:val="-8"/>
        </w:rPr>
        <w:t> </w:t>
      </w:r>
      <w:r>
        <w:rPr/>
        <w:t>tutte</w:t>
      </w:r>
      <w:r>
        <w:rPr>
          <w:spacing w:val="-5"/>
        </w:rPr>
        <w:t> </w:t>
      </w:r>
      <w:r>
        <w:rPr/>
        <w:t>le</w:t>
      </w:r>
      <w:r>
        <w:rPr>
          <w:spacing w:val="-5"/>
        </w:rPr>
        <w:t> </w:t>
      </w:r>
      <w:r>
        <w:rPr/>
        <w:t>responsabilità previste</w:t>
      </w:r>
      <w:r>
        <w:rPr>
          <w:spacing w:val="-3"/>
        </w:rPr>
        <w:t> </w:t>
      </w:r>
      <w:r>
        <w:rPr/>
        <w:t>dagli</w:t>
      </w:r>
      <w:r>
        <w:rPr>
          <w:spacing w:val="-7"/>
        </w:rPr>
        <w:t> </w:t>
      </w:r>
      <w:r>
        <w:rPr/>
        <w:t>artt.</w:t>
      </w:r>
      <w:r>
        <w:rPr>
          <w:spacing w:val="-3"/>
        </w:rPr>
        <w:t> </w:t>
      </w:r>
      <w:r>
        <w:rPr/>
        <w:t>8</w:t>
      </w:r>
      <w:r>
        <w:rPr>
          <w:spacing w:val="-7"/>
        </w:rPr>
        <w:t> </w:t>
      </w:r>
      <w:r>
        <w:rPr/>
        <w:t>e</w:t>
      </w:r>
      <w:r>
        <w:rPr>
          <w:spacing w:val="-2"/>
        </w:rPr>
        <w:t> </w:t>
      </w:r>
      <w:r>
        <w:rPr/>
        <w:t>15</w:t>
      </w:r>
      <w:r>
        <w:rPr>
          <w:spacing w:val="-7"/>
        </w:rPr>
        <w:t> </w:t>
      </w:r>
      <w:r>
        <w:rPr/>
        <w:t>del</w:t>
      </w:r>
      <w:r>
        <w:rPr>
          <w:spacing w:val="-6"/>
        </w:rPr>
        <w:t> </w:t>
      </w:r>
      <w:r>
        <w:rPr/>
        <w:t>Regolamento</w:t>
      </w:r>
      <w:r>
        <w:rPr>
          <w:spacing w:val="-8"/>
        </w:rPr>
        <w:t> </w:t>
      </w:r>
      <w:r>
        <w:rPr/>
        <w:t>UE</w:t>
      </w:r>
      <w:r>
        <w:rPr>
          <w:spacing w:val="-6"/>
        </w:rPr>
        <w:t> </w:t>
      </w:r>
      <w:r>
        <w:rPr/>
        <w:t>425/2016.</w:t>
      </w:r>
      <w:r>
        <w:rPr>
          <w:spacing w:val="-4"/>
        </w:rPr>
        <w:t> </w:t>
      </w:r>
      <w:r>
        <w:rPr/>
        <w:t>Analogamente</w:t>
      </w:r>
      <w:r>
        <w:rPr>
          <w:spacing w:val="-2"/>
        </w:rPr>
        <w:t> </w:t>
      </w:r>
      <w:r>
        <w:rPr/>
        <w:t>si</w:t>
      </w:r>
      <w:r>
        <w:rPr>
          <w:spacing w:val="-7"/>
        </w:rPr>
        <w:t> </w:t>
      </w:r>
      <w:r>
        <w:rPr/>
        <w:t>rimanda</w:t>
      </w:r>
      <w:r>
        <w:rPr>
          <w:spacing w:val="-4"/>
        </w:rPr>
        <w:t> </w:t>
      </w:r>
      <w:r>
        <w:rPr/>
        <w:t>all’art</w:t>
      </w:r>
      <w:r>
        <w:rPr>
          <w:spacing w:val="-4"/>
        </w:rPr>
        <w:t> </w:t>
      </w:r>
      <w:r>
        <w:rPr/>
        <w:t>10</w:t>
      </w:r>
      <w:r>
        <w:rPr>
          <w:spacing w:val="-6"/>
        </w:rPr>
        <w:t> </w:t>
      </w:r>
      <w:r>
        <w:rPr/>
        <w:t>per quel</w:t>
      </w:r>
      <w:r>
        <w:rPr>
          <w:spacing w:val="-17"/>
        </w:rPr>
        <w:t> </w:t>
      </w:r>
      <w:r>
        <w:rPr/>
        <w:t>che</w:t>
      </w:r>
      <w:r>
        <w:rPr>
          <w:spacing w:val="-12"/>
        </w:rPr>
        <w:t> </w:t>
      </w:r>
      <w:r>
        <w:rPr/>
        <w:t>concerne</w:t>
      </w:r>
      <w:r>
        <w:rPr>
          <w:spacing w:val="-12"/>
        </w:rPr>
        <w:t> </w:t>
      </w:r>
      <w:r>
        <w:rPr/>
        <w:t>gli</w:t>
      </w:r>
      <w:r>
        <w:rPr>
          <w:spacing w:val="-16"/>
        </w:rPr>
        <w:t> </w:t>
      </w:r>
      <w:r>
        <w:rPr/>
        <w:t>obblighi</w:t>
      </w:r>
      <w:r>
        <w:rPr>
          <w:spacing w:val="-17"/>
        </w:rPr>
        <w:t> </w:t>
      </w:r>
      <w:r>
        <w:rPr/>
        <w:t>dell’importatore.</w:t>
      </w:r>
      <w:r>
        <w:rPr>
          <w:spacing w:val="-14"/>
        </w:rPr>
        <w:t> </w:t>
      </w:r>
      <w:r>
        <w:rPr/>
        <w:t>In</w:t>
      </w:r>
      <w:r>
        <w:rPr>
          <w:spacing w:val="-13"/>
        </w:rPr>
        <w:t> </w:t>
      </w:r>
      <w:r>
        <w:rPr/>
        <w:t>particolare,</w:t>
      </w:r>
      <w:r>
        <w:rPr>
          <w:spacing w:val="-14"/>
        </w:rPr>
        <w:t> </w:t>
      </w:r>
      <w:r>
        <w:rPr/>
        <w:t>gli</w:t>
      </w:r>
      <w:r>
        <w:rPr>
          <w:spacing w:val="-16"/>
        </w:rPr>
        <w:t> </w:t>
      </w:r>
      <w:r>
        <w:rPr/>
        <w:t>Uffici</w:t>
      </w:r>
      <w:r>
        <w:rPr>
          <w:spacing w:val="-16"/>
        </w:rPr>
        <w:t> </w:t>
      </w:r>
      <w:r>
        <w:rPr/>
        <w:t>delle</w:t>
      </w:r>
      <w:r>
        <w:rPr>
          <w:spacing w:val="-13"/>
        </w:rPr>
        <w:t> </w:t>
      </w:r>
      <w:r>
        <w:rPr/>
        <w:t>dogane</w:t>
      </w:r>
      <w:r>
        <w:rPr>
          <w:spacing w:val="-12"/>
        </w:rPr>
        <w:t> </w:t>
      </w:r>
      <w:r>
        <w:rPr/>
        <w:t>sono</w:t>
      </w:r>
      <w:r>
        <w:rPr>
          <w:spacing w:val="-13"/>
        </w:rPr>
        <w:t> </w:t>
      </w:r>
      <w:r>
        <w:rPr/>
        <w:t>invitati a porre l’attenzione sull’osservanza da parte </w:t>
      </w:r>
      <w:r>
        <w:rPr>
          <w:spacing w:val="-3"/>
        </w:rPr>
        <w:t>degli </w:t>
      </w:r>
      <w:r>
        <w:rPr/>
        <w:t>operatori economici coinvolti dei seguenti articoli del Regolamento UE</w:t>
      </w:r>
      <w:r>
        <w:rPr>
          <w:spacing w:val="3"/>
        </w:rPr>
        <w:t> </w:t>
      </w:r>
      <w:r>
        <w:rPr/>
        <w:t>425/2016.</w:t>
      </w:r>
    </w:p>
    <w:p>
      <w:pPr>
        <w:pStyle w:val="BodyText"/>
        <w:rPr>
          <w:sz w:val="20"/>
        </w:rPr>
      </w:pPr>
    </w:p>
    <w:p>
      <w:pPr>
        <w:pStyle w:val="BodyText"/>
        <w:spacing w:before="3"/>
        <w:rPr>
          <w:sz w:val="27"/>
        </w:rPr>
      </w:pPr>
      <w:r>
        <w:rPr/>
        <w:pict>
          <v:shape style="position:absolute;margin-left:57.1106pt;margin-top:17.586426pt;width:144pt;height:.1pt;mso-position-horizontal-relative:page;mso-position-vertical-relative:paragraph;z-index:-251657216;mso-wrap-distance-left:0;mso-wrap-distance-right:0" coordorigin="1142,352" coordsize="2880,0" path="m1142,352l4022,352e" filled="false" stroked="true" strokeweight=".48pt" strokecolor="#000000">
            <v:path arrowok="t"/>
            <v:stroke dashstyle="solid"/>
            <w10:wrap type="topAndBottom"/>
          </v:shape>
        </w:pict>
      </w:r>
    </w:p>
    <w:p>
      <w:pPr>
        <w:spacing w:before="57"/>
        <w:ind w:left="182" w:right="0" w:firstLine="0"/>
        <w:jc w:val="left"/>
        <w:rPr>
          <w:rFonts w:ascii="Times New Roman" w:hAnsi="Times New Roman"/>
          <w:sz w:val="20"/>
        </w:rPr>
      </w:pPr>
      <w:r>
        <w:rPr>
          <w:rFonts w:ascii="Times New Roman" w:hAnsi="Times New Roman"/>
          <w:sz w:val="20"/>
          <w:vertAlign w:val="superscript"/>
        </w:rPr>
        <w:t>1</w:t>
      </w:r>
      <w:r>
        <w:rPr>
          <w:rFonts w:ascii="Times New Roman" w:hAnsi="Times New Roman"/>
          <w:sz w:val="20"/>
          <w:vertAlign w:val="baseline"/>
        </w:rPr>
        <w:t> Nel caso di DPI di III categoria nella marcatura CE è riportato anche il numero dell’Organismo Notificato.</w:t>
      </w:r>
    </w:p>
    <w:p>
      <w:pPr>
        <w:spacing w:after="0"/>
        <w:jc w:val="left"/>
        <w:rPr>
          <w:rFonts w:ascii="Times New Roman" w:hAnsi="Times New Roman"/>
          <w:sz w:val="20"/>
        </w:rPr>
        <w:sectPr>
          <w:pgSz w:w="11910" w:h="16840"/>
          <w:pgMar w:header="697" w:footer="727" w:top="2240" w:bottom="920" w:left="960" w:right="10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586" w:lineRule="exact" w:before="12"/>
        <w:ind w:left="182" w:right="4542" w:firstLine="0"/>
        <w:jc w:val="left"/>
        <w:rPr>
          <w:sz w:val="26"/>
        </w:rPr>
      </w:pPr>
      <w:r>
        <w:rPr>
          <w:sz w:val="26"/>
        </w:rPr>
        <w:t>CAPO II – </w:t>
      </w:r>
      <w:r>
        <w:rPr>
          <w:b/>
          <w:sz w:val="26"/>
        </w:rPr>
        <w:t>Obblighi degli Operatori Economici Art. 8</w:t>
      </w:r>
      <w:r>
        <w:rPr>
          <w:sz w:val="26"/>
        </w:rPr>
        <w:t>– </w:t>
      </w:r>
      <w:r>
        <w:rPr>
          <w:sz w:val="26"/>
          <w:u w:val="single"/>
        </w:rPr>
        <w:t>Obblighi dei fabbricanti</w:t>
      </w:r>
    </w:p>
    <w:p>
      <w:pPr>
        <w:pStyle w:val="BodyText"/>
        <w:spacing w:line="244" w:lineRule="exact"/>
        <w:ind w:left="182"/>
      </w:pPr>
      <w:r>
        <w:rPr>
          <w:i/>
        </w:rPr>
        <w:t>Comma 2 </w:t>
      </w:r>
      <w:r>
        <w:rPr/>
        <w:t>– (…) I fabbricanti eseguono o fanno seguire la pertinente procedura di valutazione</w:t>
      </w:r>
    </w:p>
    <w:p>
      <w:pPr>
        <w:pStyle w:val="BodyText"/>
        <w:ind w:left="182"/>
      </w:pPr>
      <w:r>
        <w:rPr/>
        <w:t>della conformità di cui all’Art. 19. (…) Redigono la dichiarazione di conformità UE ed appongono la marcatura CE.</w:t>
      </w:r>
    </w:p>
    <w:p>
      <w:pPr>
        <w:pStyle w:val="BodyText"/>
        <w:spacing w:before="1"/>
        <w:ind w:left="182" w:right="151"/>
      </w:pPr>
      <w:r>
        <w:rPr>
          <w:i/>
        </w:rPr>
        <w:t>Comma 5 </w:t>
      </w:r>
      <w:r>
        <w:rPr/>
        <w:t>– I fabbricanti assicurano che sui DPI sia apposto un numero di tipo, di lotto, di serie o qualsiasi altro elemento che ne consenta l’identificazione (…)</w:t>
      </w:r>
    </w:p>
    <w:p>
      <w:pPr>
        <w:spacing w:line="580" w:lineRule="atLeast" w:before="6"/>
        <w:ind w:left="182" w:right="5528" w:firstLine="0"/>
        <w:jc w:val="left"/>
        <w:rPr>
          <w:sz w:val="26"/>
        </w:rPr>
      </w:pPr>
      <w:r>
        <w:rPr>
          <w:sz w:val="26"/>
        </w:rPr>
        <w:t>CAPO III – </w:t>
      </w:r>
      <w:r>
        <w:rPr>
          <w:b/>
          <w:sz w:val="26"/>
        </w:rPr>
        <w:t>Conformità dei prodotti Art. 15 </w:t>
      </w:r>
      <w:r>
        <w:rPr>
          <w:sz w:val="26"/>
        </w:rPr>
        <w:t>– </w:t>
      </w:r>
      <w:r>
        <w:rPr>
          <w:sz w:val="26"/>
          <w:u w:val="single"/>
        </w:rPr>
        <w:t>Dichiarazione di conformità UE</w:t>
      </w:r>
    </w:p>
    <w:p>
      <w:pPr>
        <w:pStyle w:val="BodyText"/>
        <w:spacing w:before="1"/>
        <w:ind w:left="182" w:right="125"/>
        <w:jc w:val="both"/>
      </w:pPr>
      <w:r>
        <w:rPr>
          <w:i/>
        </w:rPr>
        <w:t>Comma 2 </w:t>
      </w:r>
      <w:r>
        <w:rPr/>
        <w:t>– La dichiarazione di conformità UE ha la struttura tipo di cui all’allegato IX con la quale il fabbricante si assume la responsabilità della conformità del DPI ai requisiti stabiliti dal Regolamento.</w:t>
      </w:r>
    </w:p>
    <w:p>
      <w:pPr>
        <w:pStyle w:val="BodyText"/>
        <w:spacing w:before="1"/>
      </w:pPr>
    </w:p>
    <w:p>
      <w:pPr>
        <w:pStyle w:val="BodyText"/>
        <w:ind w:left="182"/>
        <w:jc w:val="both"/>
      </w:pPr>
      <w:r>
        <w:rPr>
          <w:b/>
        </w:rPr>
        <w:t>Art. 17</w:t>
      </w:r>
      <w:r>
        <w:rPr/>
        <w:t>- </w:t>
      </w:r>
      <w:r>
        <w:rPr>
          <w:u w:val="single"/>
        </w:rPr>
        <w:t>Regole e condizioni per l’apposizione della marcatura CE</w:t>
      </w:r>
    </w:p>
    <w:p>
      <w:pPr>
        <w:pStyle w:val="BodyText"/>
        <w:spacing w:before="1"/>
        <w:ind w:left="182" w:right="125"/>
        <w:jc w:val="both"/>
      </w:pPr>
      <w:r>
        <w:rPr>
          <w:i/>
        </w:rPr>
        <w:t>Comma 3 </w:t>
      </w:r>
      <w:r>
        <w:rPr/>
        <w:t>– Per i DPI di categoria III, la marcatura CE è seguita dal numero di identificazione dell’organismo notificato che interviene nella procedura di cui agli allegati VII o VIII.</w:t>
      </w:r>
    </w:p>
    <w:sectPr>
      <w:pgSz w:w="11910" w:h="16840"/>
      <w:pgMar w:header="697" w:footer="727" w:top="2240" w:bottom="920" w:left="9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670593pt;margin-top:794.543457pt;width:10.75pt;height:13.35pt;mso-position-horizontal-relative:page;mso-position-vertical-relative:page;z-index:-252114944" type="#_x0000_t202" filled="false" stroked="false">
          <v:textbox inset="0,0,0,0">
            <w:txbxContent>
              <w:p>
                <w:pPr>
                  <w:spacing w:before="21"/>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99488">
          <wp:simplePos x="0" y="0"/>
          <wp:positionH relativeFrom="page">
            <wp:posOffset>3207421</wp:posOffset>
          </wp:positionH>
          <wp:positionV relativeFrom="page">
            <wp:posOffset>442473</wp:posOffset>
          </wp:positionV>
          <wp:extent cx="2939818" cy="98691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939818" cy="986918"/>
                  </a:xfrm>
                  <a:prstGeom prst="rect">
                    <a:avLst/>
                  </a:prstGeom>
                </pic:spPr>
              </pic:pic>
            </a:graphicData>
          </a:graphic>
        </wp:anchor>
      </w:drawing>
    </w:r>
    <w:r>
      <w:rPr/>
      <w:drawing>
        <wp:anchor distT="0" distB="0" distL="0" distR="0" allowOverlap="1" layoutInCell="1" locked="0" behindDoc="1" simplePos="0" relativeHeight="251200512">
          <wp:simplePos x="0" y="0"/>
          <wp:positionH relativeFrom="page">
            <wp:posOffset>740931</wp:posOffset>
          </wp:positionH>
          <wp:positionV relativeFrom="page">
            <wp:posOffset>598663</wp:posOffset>
          </wp:positionV>
          <wp:extent cx="2259273" cy="81487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259273" cy="8148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02" w:hanging="360"/>
      </w:pPr>
      <w:rPr>
        <w:rFonts w:hint="default" w:ascii="Times New Roman" w:hAnsi="Times New Roman" w:eastAsia="Times New Roman" w:cs="Times New Roman"/>
        <w:w w:val="99"/>
        <w:sz w:val="26"/>
        <w:szCs w:val="26"/>
        <w:lang w:val="it-IT" w:eastAsia="it-IT" w:bidi="it-IT"/>
      </w:rPr>
    </w:lvl>
    <w:lvl w:ilvl="1">
      <w:start w:val="0"/>
      <w:numFmt w:val="bullet"/>
      <w:lvlText w:val="-"/>
      <w:lvlJc w:val="left"/>
      <w:pPr>
        <w:ind w:left="1247" w:hanging="360"/>
      </w:pPr>
      <w:rPr>
        <w:rFonts w:hint="default" w:ascii="Times New Roman" w:hAnsi="Times New Roman" w:eastAsia="Times New Roman" w:cs="Times New Roman"/>
        <w:w w:val="99"/>
        <w:sz w:val="26"/>
        <w:szCs w:val="26"/>
        <w:lang w:val="it-IT" w:eastAsia="it-IT" w:bidi="it-IT"/>
      </w:rPr>
    </w:lvl>
    <w:lvl w:ilvl="2">
      <w:start w:val="0"/>
      <w:numFmt w:val="bullet"/>
      <w:lvlText w:val="•"/>
      <w:lvlJc w:val="left"/>
      <w:pPr>
        <w:ind w:left="2207" w:hanging="360"/>
      </w:pPr>
      <w:rPr>
        <w:rFonts w:hint="default"/>
        <w:lang w:val="it-IT" w:eastAsia="it-IT" w:bidi="it-IT"/>
      </w:rPr>
    </w:lvl>
    <w:lvl w:ilvl="3">
      <w:start w:val="0"/>
      <w:numFmt w:val="bullet"/>
      <w:lvlText w:val="•"/>
      <w:lvlJc w:val="left"/>
      <w:pPr>
        <w:ind w:left="3174" w:hanging="360"/>
      </w:pPr>
      <w:rPr>
        <w:rFonts w:hint="default"/>
        <w:lang w:val="it-IT" w:eastAsia="it-IT" w:bidi="it-IT"/>
      </w:rPr>
    </w:lvl>
    <w:lvl w:ilvl="4">
      <w:start w:val="0"/>
      <w:numFmt w:val="bullet"/>
      <w:lvlText w:val="•"/>
      <w:lvlJc w:val="left"/>
      <w:pPr>
        <w:ind w:left="4141" w:hanging="360"/>
      </w:pPr>
      <w:rPr>
        <w:rFonts w:hint="default"/>
        <w:lang w:val="it-IT" w:eastAsia="it-IT" w:bidi="it-IT"/>
      </w:rPr>
    </w:lvl>
    <w:lvl w:ilvl="5">
      <w:start w:val="0"/>
      <w:numFmt w:val="bullet"/>
      <w:lvlText w:val="•"/>
      <w:lvlJc w:val="left"/>
      <w:pPr>
        <w:ind w:left="5109" w:hanging="360"/>
      </w:pPr>
      <w:rPr>
        <w:rFonts w:hint="default"/>
        <w:lang w:val="it-IT" w:eastAsia="it-IT" w:bidi="it-IT"/>
      </w:rPr>
    </w:lvl>
    <w:lvl w:ilvl="6">
      <w:start w:val="0"/>
      <w:numFmt w:val="bullet"/>
      <w:lvlText w:val="•"/>
      <w:lvlJc w:val="left"/>
      <w:pPr>
        <w:ind w:left="6076" w:hanging="360"/>
      </w:pPr>
      <w:rPr>
        <w:rFonts w:hint="default"/>
        <w:lang w:val="it-IT" w:eastAsia="it-IT" w:bidi="it-IT"/>
      </w:rPr>
    </w:lvl>
    <w:lvl w:ilvl="7">
      <w:start w:val="0"/>
      <w:numFmt w:val="bullet"/>
      <w:lvlText w:val="•"/>
      <w:lvlJc w:val="left"/>
      <w:pPr>
        <w:ind w:left="7043" w:hanging="360"/>
      </w:pPr>
      <w:rPr>
        <w:rFonts w:hint="default"/>
        <w:lang w:val="it-IT" w:eastAsia="it-IT" w:bidi="it-IT"/>
      </w:rPr>
    </w:lvl>
    <w:lvl w:ilvl="8">
      <w:start w:val="0"/>
      <w:numFmt w:val="bullet"/>
      <w:lvlText w:val="•"/>
      <w:lvlJc w:val="left"/>
      <w:pPr>
        <w:ind w:left="8010" w:hanging="360"/>
      </w:pPr>
      <w:rPr>
        <w:rFonts w:hint="default"/>
        <w:lang w:val="it-IT" w:eastAsia="it-IT" w:bidi="it-IT"/>
      </w:rPr>
    </w:lvl>
  </w:abstractNum>
  <w:abstractNum w:abstractNumId="4">
    <w:multiLevelType w:val="hybridMultilevel"/>
    <w:lvl w:ilvl="0">
      <w:start w:val="1"/>
      <w:numFmt w:val="decimal"/>
      <w:lvlText w:val="%1."/>
      <w:lvlJc w:val="left"/>
      <w:pPr>
        <w:ind w:left="902" w:hanging="360"/>
        <w:jc w:val="left"/>
      </w:pPr>
      <w:rPr>
        <w:rFonts w:hint="default" w:ascii="Times New Roman" w:hAnsi="Times New Roman" w:eastAsia="Times New Roman" w:cs="Times New Roman"/>
        <w:w w:val="99"/>
        <w:sz w:val="26"/>
        <w:szCs w:val="26"/>
        <w:lang w:val="it-IT" w:eastAsia="it-IT" w:bidi="it-IT"/>
      </w:rPr>
    </w:lvl>
    <w:lvl w:ilvl="1">
      <w:start w:val="0"/>
      <w:numFmt w:val="bullet"/>
      <w:lvlText w:val="•"/>
      <w:lvlJc w:val="left"/>
      <w:pPr>
        <w:ind w:left="1804" w:hanging="360"/>
      </w:pPr>
      <w:rPr>
        <w:rFonts w:hint="default"/>
        <w:lang w:val="it-IT" w:eastAsia="it-IT" w:bidi="it-IT"/>
      </w:rPr>
    </w:lvl>
    <w:lvl w:ilvl="2">
      <w:start w:val="0"/>
      <w:numFmt w:val="bullet"/>
      <w:lvlText w:val="•"/>
      <w:lvlJc w:val="left"/>
      <w:pPr>
        <w:ind w:left="2709" w:hanging="360"/>
      </w:pPr>
      <w:rPr>
        <w:rFonts w:hint="default"/>
        <w:lang w:val="it-IT" w:eastAsia="it-IT" w:bidi="it-IT"/>
      </w:rPr>
    </w:lvl>
    <w:lvl w:ilvl="3">
      <w:start w:val="0"/>
      <w:numFmt w:val="bullet"/>
      <w:lvlText w:val="•"/>
      <w:lvlJc w:val="left"/>
      <w:pPr>
        <w:ind w:left="3613" w:hanging="360"/>
      </w:pPr>
      <w:rPr>
        <w:rFonts w:hint="default"/>
        <w:lang w:val="it-IT" w:eastAsia="it-IT" w:bidi="it-IT"/>
      </w:rPr>
    </w:lvl>
    <w:lvl w:ilvl="4">
      <w:start w:val="0"/>
      <w:numFmt w:val="bullet"/>
      <w:lvlText w:val="•"/>
      <w:lvlJc w:val="left"/>
      <w:pPr>
        <w:ind w:left="4518" w:hanging="360"/>
      </w:pPr>
      <w:rPr>
        <w:rFonts w:hint="default"/>
        <w:lang w:val="it-IT" w:eastAsia="it-IT" w:bidi="it-IT"/>
      </w:rPr>
    </w:lvl>
    <w:lvl w:ilvl="5">
      <w:start w:val="0"/>
      <w:numFmt w:val="bullet"/>
      <w:lvlText w:val="•"/>
      <w:lvlJc w:val="left"/>
      <w:pPr>
        <w:ind w:left="5422" w:hanging="360"/>
      </w:pPr>
      <w:rPr>
        <w:rFonts w:hint="default"/>
        <w:lang w:val="it-IT" w:eastAsia="it-IT" w:bidi="it-IT"/>
      </w:rPr>
    </w:lvl>
    <w:lvl w:ilvl="6">
      <w:start w:val="0"/>
      <w:numFmt w:val="bullet"/>
      <w:lvlText w:val="•"/>
      <w:lvlJc w:val="left"/>
      <w:pPr>
        <w:ind w:left="6327" w:hanging="360"/>
      </w:pPr>
      <w:rPr>
        <w:rFonts w:hint="default"/>
        <w:lang w:val="it-IT" w:eastAsia="it-IT" w:bidi="it-IT"/>
      </w:rPr>
    </w:lvl>
    <w:lvl w:ilvl="7">
      <w:start w:val="0"/>
      <w:numFmt w:val="bullet"/>
      <w:lvlText w:val="•"/>
      <w:lvlJc w:val="left"/>
      <w:pPr>
        <w:ind w:left="7231" w:hanging="360"/>
      </w:pPr>
      <w:rPr>
        <w:rFonts w:hint="default"/>
        <w:lang w:val="it-IT" w:eastAsia="it-IT" w:bidi="it-IT"/>
      </w:rPr>
    </w:lvl>
    <w:lvl w:ilvl="8">
      <w:start w:val="0"/>
      <w:numFmt w:val="bullet"/>
      <w:lvlText w:val="•"/>
      <w:lvlJc w:val="left"/>
      <w:pPr>
        <w:ind w:left="8136" w:hanging="360"/>
      </w:pPr>
      <w:rPr>
        <w:rFonts w:hint="default"/>
        <w:lang w:val="it-IT" w:eastAsia="it-IT" w:bidi="it-IT"/>
      </w:rPr>
    </w:lvl>
  </w:abstractNum>
  <w:abstractNum w:abstractNumId="2">
    <w:multiLevelType w:val="hybridMultilevel"/>
    <w:lvl w:ilvl="0">
      <w:start w:val="1"/>
      <w:numFmt w:val="decimal"/>
      <w:lvlText w:val="%1."/>
      <w:lvlJc w:val="left"/>
      <w:pPr>
        <w:ind w:left="902" w:hanging="360"/>
        <w:jc w:val="left"/>
      </w:pPr>
      <w:rPr>
        <w:rFonts w:hint="default" w:ascii="Garamond" w:hAnsi="Garamond" w:eastAsia="Garamond" w:cs="Garamond"/>
        <w:spacing w:val="-2"/>
        <w:w w:val="99"/>
        <w:sz w:val="26"/>
        <w:szCs w:val="26"/>
        <w:lang w:val="it-IT" w:eastAsia="it-IT" w:bidi="it-IT"/>
      </w:rPr>
    </w:lvl>
    <w:lvl w:ilvl="1">
      <w:start w:val="0"/>
      <w:numFmt w:val="bullet"/>
      <w:lvlText w:val="•"/>
      <w:lvlJc w:val="left"/>
      <w:pPr>
        <w:ind w:left="1804" w:hanging="360"/>
      </w:pPr>
      <w:rPr>
        <w:rFonts w:hint="default"/>
        <w:lang w:val="it-IT" w:eastAsia="it-IT" w:bidi="it-IT"/>
      </w:rPr>
    </w:lvl>
    <w:lvl w:ilvl="2">
      <w:start w:val="0"/>
      <w:numFmt w:val="bullet"/>
      <w:lvlText w:val="•"/>
      <w:lvlJc w:val="left"/>
      <w:pPr>
        <w:ind w:left="2709" w:hanging="360"/>
      </w:pPr>
      <w:rPr>
        <w:rFonts w:hint="default"/>
        <w:lang w:val="it-IT" w:eastAsia="it-IT" w:bidi="it-IT"/>
      </w:rPr>
    </w:lvl>
    <w:lvl w:ilvl="3">
      <w:start w:val="0"/>
      <w:numFmt w:val="bullet"/>
      <w:lvlText w:val="•"/>
      <w:lvlJc w:val="left"/>
      <w:pPr>
        <w:ind w:left="3613" w:hanging="360"/>
      </w:pPr>
      <w:rPr>
        <w:rFonts w:hint="default"/>
        <w:lang w:val="it-IT" w:eastAsia="it-IT" w:bidi="it-IT"/>
      </w:rPr>
    </w:lvl>
    <w:lvl w:ilvl="4">
      <w:start w:val="0"/>
      <w:numFmt w:val="bullet"/>
      <w:lvlText w:val="•"/>
      <w:lvlJc w:val="left"/>
      <w:pPr>
        <w:ind w:left="4518" w:hanging="360"/>
      </w:pPr>
      <w:rPr>
        <w:rFonts w:hint="default"/>
        <w:lang w:val="it-IT" w:eastAsia="it-IT" w:bidi="it-IT"/>
      </w:rPr>
    </w:lvl>
    <w:lvl w:ilvl="5">
      <w:start w:val="0"/>
      <w:numFmt w:val="bullet"/>
      <w:lvlText w:val="•"/>
      <w:lvlJc w:val="left"/>
      <w:pPr>
        <w:ind w:left="5422" w:hanging="360"/>
      </w:pPr>
      <w:rPr>
        <w:rFonts w:hint="default"/>
        <w:lang w:val="it-IT" w:eastAsia="it-IT" w:bidi="it-IT"/>
      </w:rPr>
    </w:lvl>
    <w:lvl w:ilvl="6">
      <w:start w:val="0"/>
      <w:numFmt w:val="bullet"/>
      <w:lvlText w:val="•"/>
      <w:lvlJc w:val="left"/>
      <w:pPr>
        <w:ind w:left="6327" w:hanging="360"/>
      </w:pPr>
      <w:rPr>
        <w:rFonts w:hint="default"/>
        <w:lang w:val="it-IT" w:eastAsia="it-IT" w:bidi="it-IT"/>
      </w:rPr>
    </w:lvl>
    <w:lvl w:ilvl="7">
      <w:start w:val="0"/>
      <w:numFmt w:val="bullet"/>
      <w:lvlText w:val="•"/>
      <w:lvlJc w:val="left"/>
      <w:pPr>
        <w:ind w:left="7231" w:hanging="360"/>
      </w:pPr>
      <w:rPr>
        <w:rFonts w:hint="default"/>
        <w:lang w:val="it-IT" w:eastAsia="it-IT" w:bidi="it-IT"/>
      </w:rPr>
    </w:lvl>
    <w:lvl w:ilvl="8">
      <w:start w:val="0"/>
      <w:numFmt w:val="bullet"/>
      <w:lvlText w:val="•"/>
      <w:lvlJc w:val="left"/>
      <w:pPr>
        <w:ind w:left="8136" w:hanging="360"/>
      </w:pPr>
      <w:rPr>
        <w:rFonts w:hint="default"/>
        <w:lang w:val="it-IT" w:eastAsia="it-IT" w:bidi="it-IT"/>
      </w:rPr>
    </w:lvl>
  </w:abstractNum>
  <w:abstractNum w:abstractNumId="1">
    <w:multiLevelType w:val="hybridMultilevel"/>
    <w:lvl w:ilvl="0">
      <w:start w:val="1"/>
      <w:numFmt w:val="decimal"/>
      <w:lvlText w:val="%1."/>
      <w:lvlJc w:val="left"/>
      <w:pPr>
        <w:ind w:left="902" w:hanging="360"/>
        <w:jc w:val="left"/>
      </w:pPr>
      <w:rPr>
        <w:rFonts w:hint="default"/>
        <w:spacing w:val="-2"/>
        <w:w w:val="99"/>
        <w:lang w:val="it-IT" w:eastAsia="it-IT" w:bidi="it-IT"/>
      </w:rPr>
    </w:lvl>
    <w:lvl w:ilvl="1">
      <w:start w:val="0"/>
      <w:numFmt w:val="bullet"/>
      <w:lvlText w:val="•"/>
      <w:lvlJc w:val="left"/>
      <w:pPr>
        <w:ind w:left="1804" w:hanging="360"/>
      </w:pPr>
      <w:rPr>
        <w:rFonts w:hint="default"/>
        <w:lang w:val="it-IT" w:eastAsia="it-IT" w:bidi="it-IT"/>
      </w:rPr>
    </w:lvl>
    <w:lvl w:ilvl="2">
      <w:start w:val="0"/>
      <w:numFmt w:val="bullet"/>
      <w:lvlText w:val="•"/>
      <w:lvlJc w:val="left"/>
      <w:pPr>
        <w:ind w:left="2709" w:hanging="360"/>
      </w:pPr>
      <w:rPr>
        <w:rFonts w:hint="default"/>
        <w:lang w:val="it-IT" w:eastAsia="it-IT" w:bidi="it-IT"/>
      </w:rPr>
    </w:lvl>
    <w:lvl w:ilvl="3">
      <w:start w:val="0"/>
      <w:numFmt w:val="bullet"/>
      <w:lvlText w:val="•"/>
      <w:lvlJc w:val="left"/>
      <w:pPr>
        <w:ind w:left="3613" w:hanging="360"/>
      </w:pPr>
      <w:rPr>
        <w:rFonts w:hint="default"/>
        <w:lang w:val="it-IT" w:eastAsia="it-IT" w:bidi="it-IT"/>
      </w:rPr>
    </w:lvl>
    <w:lvl w:ilvl="4">
      <w:start w:val="0"/>
      <w:numFmt w:val="bullet"/>
      <w:lvlText w:val="•"/>
      <w:lvlJc w:val="left"/>
      <w:pPr>
        <w:ind w:left="4518" w:hanging="360"/>
      </w:pPr>
      <w:rPr>
        <w:rFonts w:hint="default"/>
        <w:lang w:val="it-IT" w:eastAsia="it-IT" w:bidi="it-IT"/>
      </w:rPr>
    </w:lvl>
    <w:lvl w:ilvl="5">
      <w:start w:val="0"/>
      <w:numFmt w:val="bullet"/>
      <w:lvlText w:val="•"/>
      <w:lvlJc w:val="left"/>
      <w:pPr>
        <w:ind w:left="5422" w:hanging="360"/>
      </w:pPr>
      <w:rPr>
        <w:rFonts w:hint="default"/>
        <w:lang w:val="it-IT" w:eastAsia="it-IT" w:bidi="it-IT"/>
      </w:rPr>
    </w:lvl>
    <w:lvl w:ilvl="6">
      <w:start w:val="0"/>
      <w:numFmt w:val="bullet"/>
      <w:lvlText w:val="•"/>
      <w:lvlJc w:val="left"/>
      <w:pPr>
        <w:ind w:left="6327" w:hanging="360"/>
      </w:pPr>
      <w:rPr>
        <w:rFonts w:hint="default"/>
        <w:lang w:val="it-IT" w:eastAsia="it-IT" w:bidi="it-IT"/>
      </w:rPr>
    </w:lvl>
    <w:lvl w:ilvl="7">
      <w:start w:val="0"/>
      <w:numFmt w:val="bullet"/>
      <w:lvlText w:val="•"/>
      <w:lvlJc w:val="left"/>
      <w:pPr>
        <w:ind w:left="7231" w:hanging="360"/>
      </w:pPr>
      <w:rPr>
        <w:rFonts w:hint="default"/>
        <w:lang w:val="it-IT" w:eastAsia="it-IT" w:bidi="it-IT"/>
      </w:rPr>
    </w:lvl>
    <w:lvl w:ilvl="8">
      <w:start w:val="0"/>
      <w:numFmt w:val="bullet"/>
      <w:lvlText w:val="•"/>
      <w:lvlJc w:val="left"/>
      <w:pPr>
        <w:ind w:left="8136" w:hanging="360"/>
      </w:pPr>
      <w:rPr>
        <w:rFonts w:hint="default"/>
        <w:lang w:val="it-IT" w:eastAsia="it-IT" w:bidi="it-IT"/>
      </w:rPr>
    </w:lvl>
  </w:abstractNum>
  <w:abstractNum w:abstractNumId="0">
    <w:multiLevelType w:val="hybridMultilevel"/>
    <w:lvl w:ilvl="0">
      <w:start w:val="1"/>
      <w:numFmt w:val="decimal"/>
      <w:lvlText w:val="%1."/>
      <w:lvlJc w:val="left"/>
      <w:pPr>
        <w:ind w:left="902" w:hanging="360"/>
        <w:jc w:val="left"/>
      </w:pPr>
      <w:rPr>
        <w:rFonts w:hint="default"/>
        <w:spacing w:val="-2"/>
        <w:w w:val="99"/>
        <w:lang w:val="it-IT" w:eastAsia="it-IT" w:bidi="it-IT"/>
      </w:rPr>
    </w:lvl>
    <w:lvl w:ilvl="1">
      <w:start w:val="0"/>
      <w:numFmt w:val="bullet"/>
      <w:lvlText w:val="•"/>
      <w:lvlJc w:val="left"/>
      <w:pPr>
        <w:ind w:left="1804" w:hanging="360"/>
      </w:pPr>
      <w:rPr>
        <w:rFonts w:hint="default"/>
        <w:lang w:val="it-IT" w:eastAsia="it-IT" w:bidi="it-IT"/>
      </w:rPr>
    </w:lvl>
    <w:lvl w:ilvl="2">
      <w:start w:val="0"/>
      <w:numFmt w:val="bullet"/>
      <w:lvlText w:val="•"/>
      <w:lvlJc w:val="left"/>
      <w:pPr>
        <w:ind w:left="2709" w:hanging="360"/>
      </w:pPr>
      <w:rPr>
        <w:rFonts w:hint="default"/>
        <w:lang w:val="it-IT" w:eastAsia="it-IT" w:bidi="it-IT"/>
      </w:rPr>
    </w:lvl>
    <w:lvl w:ilvl="3">
      <w:start w:val="0"/>
      <w:numFmt w:val="bullet"/>
      <w:lvlText w:val="•"/>
      <w:lvlJc w:val="left"/>
      <w:pPr>
        <w:ind w:left="3613" w:hanging="360"/>
      </w:pPr>
      <w:rPr>
        <w:rFonts w:hint="default"/>
        <w:lang w:val="it-IT" w:eastAsia="it-IT" w:bidi="it-IT"/>
      </w:rPr>
    </w:lvl>
    <w:lvl w:ilvl="4">
      <w:start w:val="0"/>
      <w:numFmt w:val="bullet"/>
      <w:lvlText w:val="•"/>
      <w:lvlJc w:val="left"/>
      <w:pPr>
        <w:ind w:left="4518" w:hanging="360"/>
      </w:pPr>
      <w:rPr>
        <w:rFonts w:hint="default"/>
        <w:lang w:val="it-IT" w:eastAsia="it-IT" w:bidi="it-IT"/>
      </w:rPr>
    </w:lvl>
    <w:lvl w:ilvl="5">
      <w:start w:val="0"/>
      <w:numFmt w:val="bullet"/>
      <w:lvlText w:val="•"/>
      <w:lvlJc w:val="left"/>
      <w:pPr>
        <w:ind w:left="5422" w:hanging="360"/>
      </w:pPr>
      <w:rPr>
        <w:rFonts w:hint="default"/>
        <w:lang w:val="it-IT" w:eastAsia="it-IT" w:bidi="it-IT"/>
      </w:rPr>
    </w:lvl>
    <w:lvl w:ilvl="6">
      <w:start w:val="0"/>
      <w:numFmt w:val="bullet"/>
      <w:lvlText w:val="•"/>
      <w:lvlJc w:val="left"/>
      <w:pPr>
        <w:ind w:left="6327" w:hanging="360"/>
      </w:pPr>
      <w:rPr>
        <w:rFonts w:hint="default"/>
        <w:lang w:val="it-IT" w:eastAsia="it-IT" w:bidi="it-IT"/>
      </w:rPr>
    </w:lvl>
    <w:lvl w:ilvl="7">
      <w:start w:val="0"/>
      <w:numFmt w:val="bullet"/>
      <w:lvlText w:val="•"/>
      <w:lvlJc w:val="left"/>
      <w:pPr>
        <w:ind w:left="7231" w:hanging="360"/>
      </w:pPr>
      <w:rPr>
        <w:rFonts w:hint="default"/>
        <w:lang w:val="it-IT" w:eastAsia="it-IT" w:bidi="it-IT"/>
      </w:rPr>
    </w:lvl>
    <w:lvl w:ilvl="8">
      <w:start w:val="0"/>
      <w:numFmt w:val="bullet"/>
      <w:lvlText w:val="•"/>
      <w:lvlJc w:val="left"/>
      <w:pPr>
        <w:ind w:left="8136" w:hanging="360"/>
      </w:pPr>
      <w:rPr>
        <w:rFonts w:hint="default"/>
        <w:lang w:val="it-IT" w:eastAsia="it-IT" w:bidi="it-IT"/>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it-IT" w:eastAsia="it-IT" w:bidi="it-IT"/>
    </w:rPr>
  </w:style>
  <w:style w:styleId="BodyText" w:type="paragraph">
    <w:name w:val="Body Text"/>
    <w:basedOn w:val="Normal"/>
    <w:uiPriority w:val="1"/>
    <w:qFormat/>
    <w:pPr/>
    <w:rPr>
      <w:rFonts w:ascii="Garamond" w:hAnsi="Garamond" w:eastAsia="Garamond" w:cs="Garamond"/>
      <w:sz w:val="26"/>
      <w:szCs w:val="26"/>
      <w:lang w:val="it-IT" w:eastAsia="it-IT" w:bidi="it-IT"/>
    </w:rPr>
  </w:style>
  <w:style w:styleId="Heading1" w:type="paragraph">
    <w:name w:val="Heading 1"/>
    <w:basedOn w:val="Normal"/>
    <w:uiPriority w:val="1"/>
    <w:qFormat/>
    <w:pPr>
      <w:spacing w:before="99"/>
      <w:ind w:left="271" w:right="222"/>
      <w:jc w:val="center"/>
      <w:outlineLvl w:val="1"/>
    </w:pPr>
    <w:rPr>
      <w:rFonts w:ascii="Garamond" w:hAnsi="Garamond" w:eastAsia="Garamond" w:cs="Garamond"/>
      <w:b/>
      <w:bCs/>
      <w:sz w:val="26"/>
      <w:szCs w:val="26"/>
      <w:lang w:val="it-IT" w:eastAsia="it-IT" w:bidi="it-IT"/>
    </w:rPr>
  </w:style>
  <w:style w:styleId="ListParagraph" w:type="paragraph">
    <w:name w:val="List Paragraph"/>
    <w:basedOn w:val="Normal"/>
    <w:uiPriority w:val="1"/>
    <w:qFormat/>
    <w:pPr>
      <w:ind w:left="902" w:hanging="360"/>
      <w:jc w:val="both"/>
    </w:pPr>
    <w:rPr>
      <w:rFonts w:ascii="Garamond" w:hAnsi="Garamond" w:eastAsia="Garamond" w:cs="Garamond"/>
      <w:lang w:val="it-IT" w:eastAsia="it-IT" w:bidi="it-IT"/>
    </w:rPr>
  </w:style>
  <w:style w:styleId="TableParagraph" w:type="paragraph">
    <w:name w:val="Table Paragraph"/>
    <w:basedOn w:val="Normal"/>
    <w:uiPriority w:val="1"/>
    <w:qFormat/>
    <w:pPr>
      <w:jc w:val="center"/>
    </w:pPr>
    <w:rPr>
      <w:rFonts w:ascii="Garamond" w:hAnsi="Garamond" w:eastAsia="Garamond" w:cs="Garamond"/>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subject>---</dc:subject>
  <dc:title>Microsoft Word - determinazione giocattoli ADM MISE v 6_REV MISE 8_10.docx</dc:title>
  <dcterms:created xsi:type="dcterms:W3CDTF">2020-10-30T13:19:17Z</dcterms:created>
  <dcterms:modified xsi:type="dcterms:W3CDTF">2020-10-30T13:19:17Z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Word</vt:lpwstr>
  </property>
  <property fmtid="{D5CDD505-2E9C-101B-9397-08002B2CF9AE}" pid="4" name="LastSaved">
    <vt:filetime>2020-10-30T00:00:00Z</vt:filetime>
  </property>
</Properties>
</file>